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right="656"/>
        <w:jc w:val="both"/>
        <w:rPr>
          <w:color w:themeColor="text1" w:val="000000"/>
          <w:spacing w:val="32"/>
          <w:w w:val="105"/>
          <w:sz w:val="24"/>
          <w:szCs w:val="24"/>
        </w:rPr>
      </w:pPr>
      <w:r>
        <w:rPr>
          <w:color w:themeColor="text1" w:val="000000"/>
          <w:spacing w:val="32"/>
          <w:w w:val="105"/>
          <w:sz w:val="24"/>
          <w:szCs w:val="24"/>
        </w:rPr>
      </w:r>
    </w:p>
    <w:p>
      <w:pPr>
        <w:pStyle w:val="BodyText"/>
        <w:ind w:right="656"/>
        <w:jc w:val="center"/>
        <w:rPr>
          <w:b/>
          <w:bCs/>
          <w:color w:val="002060"/>
          <w:spacing w:val="32"/>
          <w:w w:val="105"/>
          <w:sz w:val="88"/>
          <w:szCs w:val="88"/>
        </w:rPr>
      </w:pPr>
      <w:r>
        <w:rPr>
          <w:b/>
          <w:bCs/>
          <w:color w:val="002060"/>
          <w:spacing w:val="32"/>
          <w:w w:val="105"/>
          <w:sz w:val="88"/>
          <w:szCs w:val="88"/>
        </w:rPr>
        <w:t xml:space="preserve">PIANO TRIENNALE </w:t>
      </w:r>
    </w:p>
    <w:p>
      <w:pPr>
        <w:pStyle w:val="BodyText"/>
        <w:ind w:right="656"/>
        <w:jc w:val="center"/>
        <w:rPr>
          <w:b/>
          <w:bCs/>
          <w:i/>
          <w:i/>
          <w:iCs/>
          <w:color w:val="002060"/>
          <w:spacing w:val="24"/>
          <w:w w:val="105"/>
          <w:sz w:val="88"/>
          <w:szCs w:val="88"/>
        </w:rPr>
      </w:pPr>
      <w:r>
        <w:rPr>
          <w:b/>
          <w:bCs/>
          <w:color w:val="002060"/>
          <w:spacing w:val="24"/>
          <w:w w:val="105"/>
          <w:sz w:val="88"/>
          <w:szCs w:val="88"/>
        </w:rPr>
        <w:t>OFFERTA FORMATIVA</w:t>
      </w:r>
    </w:p>
    <w:p>
      <w:pPr>
        <w:pStyle w:val="BodyText"/>
        <w:ind w:right="656"/>
        <w:jc w:val="center"/>
        <w:rPr>
          <w:b/>
          <w:bCs/>
          <w:i/>
          <w:i/>
          <w:iCs/>
          <w:color w:val="002060"/>
          <w:spacing w:val="32"/>
          <w:w w:val="105"/>
          <w:sz w:val="88"/>
          <w:szCs w:val="88"/>
        </w:rPr>
      </w:pPr>
      <w:r>
        <w:rPr>
          <w:b/>
          <w:bCs/>
          <w:i/>
          <w:iCs/>
          <w:color w:val="002060"/>
          <w:spacing w:val="32"/>
          <w:w w:val="105"/>
          <w:sz w:val="88"/>
          <w:szCs w:val="88"/>
        </w:rPr>
        <w:t>Triennio 2025-2028</w:t>
      </w:r>
    </w:p>
    <w:p>
      <w:pPr>
        <w:pStyle w:val="Normal"/>
        <w:rPr>
          <w:b/>
          <w:bCs/>
          <w:i/>
          <w:i/>
          <w:iCs/>
          <w:color w:val="C00000"/>
          <w:sz w:val="24"/>
          <w:szCs w:val="24"/>
        </w:rPr>
      </w:pPr>
      <w:r>
        <w:rPr>
          <w:b/>
          <w:bCs/>
          <w:i/>
          <w:iCs/>
          <w:color w:val="C00000"/>
          <w:sz w:val="24"/>
          <w:szCs w:val="24"/>
        </w:rPr>
        <w:t>Este, li 18 Dicembre 2024                                         Protocollo di Riferimento n. /IV-1 del 18.12.2024</w:t>
      </w:r>
    </w:p>
    <w:p>
      <w:pPr>
        <w:pStyle w:val="BodyText"/>
        <w:spacing w:before="7" w:after="0"/>
        <w:rPr>
          <w:sz w:val="21"/>
        </w:rPr>
      </w:pPr>
      <w:r>
        <w:rPr>
          <w:sz w:val="21"/>
        </w:rPr>
      </w:r>
    </w:p>
    <w:p>
      <w:pPr>
        <w:pStyle w:val="BodyText"/>
        <w:spacing w:before="7" w:after="0"/>
        <w:jc w:val="center"/>
        <w:rPr>
          <w:sz w:val="24"/>
          <w:szCs w:val="24"/>
        </w:rPr>
      </w:pPr>
      <w:r>
        <w:rPr>
          <w:sz w:val="24"/>
          <w:szCs w:val="24"/>
        </w:rPr>
      </w:r>
    </w:p>
    <w:p>
      <w:pPr>
        <w:pStyle w:val="BodyText"/>
        <w:spacing w:before="7" w:after="0"/>
        <w:jc w:val="center"/>
        <w:rPr>
          <w:sz w:val="24"/>
          <w:szCs w:val="24"/>
        </w:rPr>
      </w:pPr>
      <w:r>
        <w:rPr>
          <w:sz w:val="24"/>
          <w:szCs w:val="24"/>
        </w:rPr>
      </w:r>
    </w:p>
    <w:p>
      <w:pPr>
        <w:pStyle w:val="BodyText"/>
        <w:spacing w:before="7" w:after="0"/>
        <w:jc w:val="center"/>
        <w:rPr>
          <w:sz w:val="24"/>
          <w:szCs w:val="24"/>
        </w:rPr>
      </w:pPr>
      <w:r>
        <w:rPr>
          <w:sz w:val="24"/>
          <w:szCs w:val="24"/>
        </w:rPr>
      </w:r>
    </w:p>
    <w:p>
      <w:pPr>
        <w:pStyle w:val="BodyText"/>
        <w:spacing w:before="7" w:after="0"/>
        <w:jc w:val="center"/>
        <w:rPr>
          <w:sz w:val="24"/>
          <w:szCs w:val="24"/>
        </w:rPr>
      </w:pPr>
      <w:r>
        <w:rPr>
          <w:sz w:val="24"/>
          <w:szCs w:val="24"/>
        </w:rPr>
      </w:r>
    </w:p>
    <w:p>
      <w:pPr>
        <w:pStyle w:val="BodyText"/>
        <w:spacing w:before="7" w:after="0"/>
        <w:jc w:val="center"/>
        <w:rPr>
          <w:sz w:val="24"/>
          <w:szCs w:val="24"/>
        </w:rPr>
      </w:pPr>
      <w:r>
        <w:rPr>
          <w:sz w:val="24"/>
          <w:szCs w:val="24"/>
        </w:rPr>
      </w:r>
    </w:p>
    <w:p>
      <w:pPr>
        <w:pStyle w:val="BodyText"/>
        <w:spacing w:before="7" w:after="0"/>
        <w:jc w:val="center"/>
        <w:rPr>
          <w:sz w:val="56"/>
          <w:szCs w:val="56"/>
        </w:rPr>
      </w:pPr>
      <w:r>
        <w:rPr>
          <w:sz w:val="56"/>
          <w:szCs w:val="56"/>
        </w:rPr>
        <w:t>TIPO DI DOCUMENTO: ALLEGATO AL PTOF</w:t>
      </w:r>
    </w:p>
    <w:p>
      <w:pPr>
        <w:pStyle w:val="BodyText"/>
        <w:spacing w:before="7" w:after="0"/>
        <w:ind w:right="-19"/>
        <w:jc w:val="center"/>
        <w:rPr>
          <w:b/>
          <w:bCs/>
          <w:spacing w:val="32"/>
          <w:sz w:val="24"/>
          <w:szCs w:val="24"/>
        </w:rPr>
      </w:pPr>
      <w:r>
        <w:rPr>
          <w:b/>
          <w:bCs/>
          <w:spacing w:val="32"/>
          <w:sz w:val="24"/>
          <w:szCs w:val="24"/>
        </w:rPr>
      </w:r>
    </w:p>
    <w:p>
      <w:pPr>
        <w:pStyle w:val="BodyText"/>
        <w:spacing w:before="7" w:after="0"/>
        <w:ind w:right="-19"/>
        <w:jc w:val="center"/>
        <w:rPr>
          <w:b/>
          <w:bCs/>
          <w:spacing w:val="32"/>
          <w:sz w:val="56"/>
          <w:szCs w:val="56"/>
        </w:rPr>
      </w:pPr>
      <w:r>
        <w:rPr>
          <w:b/>
          <w:bCs/>
          <w:spacing w:val="32"/>
          <w:sz w:val="56"/>
          <w:szCs w:val="56"/>
        </w:rPr>
        <w:t>PROGETTO STRATEGICO D’ISTITUTO</w:t>
      </w:r>
    </w:p>
    <w:p>
      <w:pPr>
        <w:pStyle w:val="BodyText"/>
        <w:spacing w:before="7" w:after="0"/>
        <w:ind w:right="-19"/>
        <w:jc w:val="center"/>
        <w:rPr>
          <w:b/>
          <w:bCs/>
          <w:spacing w:val="32"/>
          <w:sz w:val="28"/>
          <w:szCs w:val="28"/>
        </w:rPr>
      </w:pPr>
      <w:r>
        <w:rPr>
          <w:b/>
          <w:bCs/>
          <w:spacing w:val="32"/>
          <w:sz w:val="28"/>
          <w:szCs w:val="28"/>
        </w:rPr>
      </w:r>
    </w:p>
    <w:p>
      <w:pPr>
        <w:pStyle w:val="BodyText"/>
        <w:shd w:val="clear" w:color="auto" w:fill="DBE5F1" w:themeFill="accent1" w:themeFillTint="33"/>
        <w:spacing w:before="7" w:after="0"/>
        <w:jc w:val="center"/>
        <w:rPr>
          <w:sz w:val="56"/>
          <w:szCs w:val="56"/>
        </w:rPr>
      </w:pPr>
      <w:r>
        <w:rPr>
          <w:sz w:val="56"/>
          <w:szCs w:val="56"/>
        </w:rPr>
        <w:t>TITOLO</w:t>
      </w:r>
    </w:p>
    <w:p>
      <w:pPr>
        <w:pStyle w:val="BodyText"/>
        <w:spacing w:before="7" w:after="0"/>
        <w:rPr>
          <w:sz w:val="40"/>
          <w:szCs w:val="40"/>
        </w:rPr>
      </w:pPr>
      <w:r>
        <w:rPr>
          <w:sz w:val="40"/>
          <w:szCs w:val="40"/>
        </w:rPr>
      </w:r>
    </w:p>
    <w:p>
      <w:pPr>
        <w:pStyle w:val="BodyText"/>
        <w:spacing w:before="7" w:after="0"/>
        <w:rPr>
          <w:color w:val="3465A4"/>
        </w:rPr>
      </w:pPr>
      <w:r>
        <w:rPr>
          <w:rFonts w:cs="Aharoni"/>
          <w:color w:val="000000"/>
          <w:sz w:val="40"/>
          <w:szCs w:val="40"/>
        </w:rPr>
        <w:t xml:space="preserve">DIDATTICA ORIENTATIVA </w:t>
      </w:r>
      <w:r>
        <w:rPr>
          <w:rFonts w:cs="Calibri" w:cstheme="minorHAnsi"/>
          <w:b/>
          <w:color w:val="000000"/>
          <w:kern w:val="2"/>
          <w:sz w:val="32"/>
          <w:szCs w:val="32"/>
          <w:lang w:eastAsia="en-US" w:bidi="ar-SA"/>
          <w14:ligatures w14:val="standardContextual"/>
        </w:rPr>
        <w:t>DM n.328/2022, DM n.</w:t>
      </w:r>
      <w:r>
        <w:rPr>
          <w:rFonts w:cs="Calibri" w:cstheme="minorHAnsi"/>
          <w:b/>
          <w:color w:val="3465A4"/>
          <w:kern w:val="2"/>
          <w:sz w:val="32"/>
          <w:szCs w:val="32"/>
          <w:lang w:eastAsia="en-US" w:bidi="ar-SA"/>
          <w14:ligatures w14:val="standardContextual"/>
        </w:rPr>
        <w:t xml:space="preserve"> </w:t>
      </w:r>
      <w:r>
        <w:rPr>
          <w:rFonts w:eastAsia="Calibri" w:cs="Calibri" w:cstheme="minorHAnsi"/>
          <w:b/>
          <w:color w:val="000000"/>
          <w:kern w:val="2"/>
          <w:sz w:val="32"/>
          <w:szCs w:val="32"/>
          <w:lang w:val="it-IT" w:eastAsia="en-US" w:bidi="ar-SA"/>
          <w14:ligatures w14:val="standardContextual"/>
        </w:rPr>
        <w:t>63/2023</w:t>
      </w:r>
    </w:p>
    <w:p>
      <w:pPr>
        <w:pStyle w:val="BodyText"/>
        <w:spacing w:before="7" w:after="0"/>
        <w:rPr>
          <w:sz w:val="40"/>
          <w:szCs w:val="40"/>
        </w:rPr>
      </w:pPr>
      <w:r>
        <w:rPr>
          <w:sz w:val="40"/>
          <w:szCs w:val="40"/>
        </w:rPr>
      </w:r>
    </w:p>
    <w:p>
      <w:pPr>
        <w:pStyle w:val="BodyText"/>
        <w:spacing w:before="7" w:after="0"/>
        <w:rPr>
          <w:sz w:val="40"/>
          <w:szCs w:val="40"/>
        </w:rPr>
      </w:pPr>
      <w:r>
        <w:rPr>
          <w:sz w:val="40"/>
          <w:szCs w:val="40"/>
        </w:rPr>
      </w:r>
    </w:p>
    <w:p>
      <w:pPr>
        <w:pStyle w:val="BodyText"/>
        <w:spacing w:before="7" w:after="0"/>
        <w:rPr>
          <w:sz w:val="40"/>
          <w:szCs w:val="40"/>
        </w:rPr>
      </w:pPr>
      <w:r>
        <w:rPr>
          <w:sz w:val="40"/>
          <w:szCs w:val="40"/>
        </w:rPr>
      </w:r>
    </w:p>
    <w:p>
      <w:pPr>
        <w:pStyle w:val="BodyText"/>
        <w:spacing w:before="7" w:after="0"/>
        <w:rPr>
          <w:sz w:val="40"/>
          <w:szCs w:val="40"/>
        </w:rPr>
      </w:pPr>
      <w:r>
        <w:rPr>
          <w:sz w:val="40"/>
          <w:szCs w:val="40"/>
        </w:rPr>
      </w:r>
    </w:p>
    <w:p>
      <w:pPr>
        <w:pStyle w:val="BodyText"/>
        <w:shd w:val="clear" w:color="auto" w:fill="DBE5F1" w:themeFill="accent1" w:themeFillTint="33"/>
        <w:spacing w:before="7" w:after="0"/>
        <w:jc w:val="center"/>
        <w:rPr>
          <w:sz w:val="56"/>
          <w:szCs w:val="56"/>
        </w:rPr>
      </w:pPr>
      <w:r>
        <w:rPr>
          <w:sz w:val="56"/>
          <w:szCs w:val="56"/>
        </w:rPr>
        <w:t>DESCRIZIONE</w:t>
      </w:r>
    </w:p>
    <w:p>
      <w:pPr>
        <w:pStyle w:val="BodyText"/>
        <w:spacing w:before="7" w:after="0"/>
        <w:rPr>
          <w:sz w:val="24"/>
          <w:szCs w:val="24"/>
        </w:rPr>
      </w:pPr>
      <w:r>
        <w:rPr>
          <w:sz w:val="24"/>
          <w:szCs w:val="24"/>
        </w:rPr>
      </w:r>
    </w:p>
    <w:p>
      <w:pPr>
        <w:pStyle w:val="BodyText"/>
        <w:spacing w:before="7" w:after="0"/>
        <w:rPr>
          <w:sz w:val="24"/>
          <w:szCs w:val="24"/>
        </w:rPr>
      </w:pPr>
      <w:r>
        <w:rPr>
          <w:sz w:val="24"/>
          <w:szCs w:val="24"/>
        </w:rPr>
        <w:t xml:space="preserve">Il progetto di didattica orientativa mira a recepire nel contesto delle attività e dell'organizzazione dell'Istituto la riforma dell'orientamento scolastico prevista nell'ambito del </w:t>
      </w:r>
      <w:hyperlink r:id="rId2">
        <w:r>
          <w:rPr>
            <w:rStyle w:val="Hyperlink"/>
            <w:rFonts w:eastAsia="Calibri" w:cs="Calibri"/>
            <w:b w:val="false"/>
            <w:i w:val="false"/>
            <w:caps w:val="false"/>
            <w:smallCaps w:val="false"/>
            <w:strike w:val="false"/>
            <w:dstrike w:val="false"/>
            <w:color w:val="000080"/>
            <w:kern w:val="0"/>
            <w:position w:val="0"/>
            <w:sz w:val="24"/>
            <w:sz w:val="24"/>
            <w:szCs w:val="24"/>
            <w:u w:val="single"/>
            <w:shd w:fill="auto" w:val="clear"/>
            <w:vertAlign w:val="baseline"/>
            <w:lang w:val="it-IT" w:eastAsia="zh-CN" w:bidi="hi-IN"/>
          </w:rPr>
          <w:t>PNRR (Piano Nazionale di Ripresa e Resilienza)</w:t>
        </w:r>
      </w:hyperlink>
      <w:r>
        <w:rPr>
          <w:sz w:val="24"/>
          <w:szCs w:val="24"/>
        </w:rPr>
        <w:t xml:space="preserve"> e definita dalle </w:t>
      </w:r>
      <w:hyperlink r:id="rId3">
        <w:r>
          <w:rPr>
            <w:rStyle w:val="Hyperlink"/>
            <w:rFonts w:eastAsia="Calibri" w:cs="Calibri"/>
            <w:b w:val="false"/>
            <w:i w:val="false"/>
            <w:caps w:val="false"/>
            <w:smallCaps w:val="false"/>
            <w:strike w:val="false"/>
            <w:dstrike w:val="false"/>
            <w:color w:val="000080"/>
            <w:kern w:val="0"/>
            <w:position w:val="0"/>
            <w:sz w:val="24"/>
            <w:sz w:val="24"/>
            <w:szCs w:val="24"/>
            <w:shd w:fill="auto" w:val="clear"/>
            <w:vertAlign w:val="baseline"/>
            <w:lang w:val="it-IT" w:eastAsia="zh-CN" w:bidi="hi-IN"/>
          </w:rPr>
          <w:t>Linee guida per l'integrazione dell'orientamento nelle attività formative delle scuole</w:t>
        </w:r>
      </w:hyperlink>
      <w:r>
        <w:rPr>
          <w:sz w:val="24"/>
          <w:szCs w:val="24"/>
        </w:rPr>
        <w:t xml:space="preserve"> adottate con </w:t>
      </w:r>
      <w:hyperlink r:id="rId4">
        <w:r>
          <w:rPr>
            <w:rStyle w:val="Hyperlink"/>
            <w:rFonts w:eastAsia="Calibri" w:cs="Calibri"/>
            <w:b w:val="false"/>
            <w:i w:val="false"/>
            <w:caps w:val="false"/>
            <w:smallCaps w:val="false"/>
            <w:strike w:val="false"/>
            <w:dstrike w:val="false"/>
            <w:color w:val="000080"/>
            <w:kern w:val="0"/>
            <w:position w:val="0"/>
            <w:sz w:val="24"/>
            <w:sz w:val="24"/>
            <w:szCs w:val="24"/>
            <w:shd w:fill="auto" w:val="clear"/>
            <w:vertAlign w:val="baseline"/>
            <w:lang w:val="it-IT" w:eastAsia="zh-CN" w:bidi="hi-IN"/>
          </w:rPr>
          <w:t>Decreto Ministeriale n. 328 del 22 dicembre 2022</w:t>
        </w:r>
      </w:hyperlink>
      <w:r>
        <w:rPr>
          <w:sz w:val="24"/>
          <w:szCs w:val="24"/>
        </w:rPr>
        <w:t xml:space="preserve">. </w:t>
      </w:r>
    </w:p>
    <w:p>
      <w:pPr>
        <w:pStyle w:val="BodyText"/>
        <w:spacing w:before="7" w:after="0"/>
        <w:rPr>
          <w:sz w:val="24"/>
          <w:szCs w:val="24"/>
        </w:rPr>
      </w:pPr>
      <w:r>
        <w:rPr>
          <w:sz w:val="24"/>
          <w:szCs w:val="24"/>
        </w:rPr>
      </w:r>
    </w:p>
    <w:p>
      <w:pPr>
        <w:pStyle w:val="BodyText"/>
        <w:spacing w:before="7" w:after="0"/>
        <w:rPr>
          <w:sz w:val="24"/>
          <w:szCs w:val="24"/>
        </w:rPr>
      </w:pPr>
      <w:r>
        <w:rPr>
          <w:sz w:val="24"/>
          <w:szCs w:val="24"/>
        </w:rPr>
        <w:t>Questa iniziativa intende promuovere il merito nel successo formativo e fornire supporto a studenti e famiglie, consentendo loro di fare scelte consapevoli per il futuro, sia nello studio che nel lavoro.</w:t>
      </w:r>
    </w:p>
    <w:p>
      <w:pPr>
        <w:pStyle w:val="BodyText"/>
        <w:spacing w:before="7" w:after="0"/>
        <w:rPr>
          <w:sz w:val="24"/>
          <w:szCs w:val="24"/>
        </w:rPr>
      </w:pPr>
      <w:r>
        <w:rPr>
          <w:sz w:val="24"/>
          <w:szCs w:val="24"/>
        </w:rPr>
      </w:r>
    </w:p>
    <w:p>
      <w:pPr>
        <w:pStyle w:val="BodyText"/>
        <w:spacing w:before="7" w:after="0"/>
        <w:rPr>
          <w:sz w:val="24"/>
          <w:szCs w:val="24"/>
        </w:rPr>
      </w:pPr>
      <w:r>
        <w:rPr>
          <w:sz w:val="24"/>
          <w:szCs w:val="24"/>
        </w:rPr>
        <w:t>La didattica orientativa è concepita come uno strumento essenziale per superare disuguaglianze e dispersione scolastica, partendo dalle esperienze degli studenti e personalizzando i percorsi formativi. Essa sarà integrata nelle attività formative e nei curricoli scolastici, con moduli di orientamento formativo di almeno 30 ore, previsti per le classi terze, quarte e quinte.</w:t>
      </w:r>
    </w:p>
    <w:p>
      <w:pPr>
        <w:pStyle w:val="BodyText"/>
        <w:spacing w:before="7" w:after="0"/>
        <w:rPr>
          <w:sz w:val="24"/>
          <w:szCs w:val="24"/>
        </w:rPr>
      </w:pPr>
      <w:r>
        <w:rPr>
          <w:sz w:val="24"/>
          <w:szCs w:val="24"/>
        </w:rPr>
      </w:r>
    </w:p>
    <w:p>
      <w:pPr>
        <w:pStyle w:val="BodyText"/>
        <w:spacing w:before="7" w:after="0"/>
        <w:rPr>
          <w:sz w:val="24"/>
          <w:szCs w:val="24"/>
        </w:rPr>
      </w:pPr>
      <w:r>
        <w:rPr>
          <w:sz w:val="24"/>
          <w:szCs w:val="24"/>
        </w:rPr>
        <w:t>Il progetto si concentrerà sullo sviluppo delle competenze di base e trasversali, come responsabilità, spirito di iniziativa, motivazione e creatività, che sono fondamentali anche per promuovere l'imprenditorialità giovanile. Si intende superare il modello tradizionale di trasmissione delle conoscenze, favorendo un apprendimento attivo e consapevole.</w:t>
      </w:r>
    </w:p>
    <w:p>
      <w:pPr>
        <w:pStyle w:val="BodyText"/>
        <w:spacing w:before="7" w:after="0"/>
        <w:rPr>
          <w:sz w:val="24"/>
          <w:szCs w:val="24"/>
        </w:rPr>
      </w:pPr>
      <w:r>
        <w:rPr>
          <w:sz w:val="24"/>
          <w:szCs w:val="24"/>
        </w:rPr>
      </w:r>
    </w:p>
    <w:p>
      <w:pPr>
        <w:pStyle w:val="BodyText"/>
        <w:spacing w:before="7" w:after="0"/>
        <w:rPr>
          <w:sz w:val="24"/>
          <w:szCs w:val="24"/>
        </w:rPr>
      </w:pPr>
      <w:r>
        <w:rPr>
          <w:sz w:val="24"/>
          <w:szCs w:val="24"/>
        </w:rPr>
        <w:t xml:space="preserve">Il progetto di didattica orientativa rappresenta un approccio educativo fondamentale per accompagnare gli studenti nel loro percorso di crescita personale e professionale. Esso mira a promuovere un'educazione inclusiva e di qualità, in grado di rispondere alle esigenze di tutti gli studenti. Attraverso questo progetto, si intende contribuire alla formazione di cittadini consapevoli e preparati ad affrontare le sfide future. </w:t>
      </w:r>
    </w:p>
    <w:p>
      <w:pPr>
        <w:pStyle w:val="BodyText"/>
        <w:spacing w:before="7" w:after="0"/>
        <w:rPr>
          <w:sz w:val="24"/>
          <w:szCs w:val="24"/>
        </w:rPr>
      </w:pPr>
      <w:r>
        <w:rPr>
          <w:sz w:val="24"/>
          <w:szCs w:val="24"/>
        </w:rPr>
      </w:r>
    </w:p>
    <w:p>
      <w:pPr>
        <w:pStyle w:val="normal1"/>
        <w:keepNext w:val="false"/>
        <w:keepLines w:val="false"/>
        <w:pageBreakBefore w:val="false"/>
        <w:widowControl/>
        <w:suppressAutoHyphens w:val="true"/>
        <w:overflowPunct w:val="false"/>
        <w:bidi w:val="0"/>
        <w:spacing w:lineRule="auto" w:line="240" w:before="1" w:after="0"/>
        <w:ind w:hanging="0" w:left="0" w:right="113"/>
        <w:jc w:val="both"/>
        <w:rPr>
          <w:rFonts w:ascii="Calibri" w:hAnsi="Calibri" w:eastAsia="Calibri" w:cs="Calibri"/>
          <w:b/>
          <w:i w:val="false"/>
          <w:i w:val="false"/>
          <w:caps w:val="false"/>
          <w:smallCaps w:val="false"/>
          <w:strike w:val="false"/>
          <w:dstrike w:val="false"/>
          <w:color w:val="3465A4"/>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3465A4"/>
          <w:position w:val="0"/>
          <w:sz w:val="28"/>
          <w:sz w:val="28"/>
          <w:szCs w:val="28"/>
          <w:u w:val="none"/>
          <w:shd w:fill="auto" w:val="clear"/>
          <w:vertAlign w:val="baseline"/>
        </w:rPr>
        <w:t>Il Contesto normativo europeo</w:t>
      </w:r>
    </w:p>
    <w:p>
      <w:pPr>
        <w:pStyle w:val="normal1"/>
        <w:widowControl/>
        <w:suppressAutoHyphens w:val="true"/>
        <w:overflowPunct w:val="false"/>
        <w:bidi w:val="0"/>
        <w:spacing w:lineRule="auto" w:line="240" w:before="1" w:after="0"/>
        <w:ind w:hanging="0" w:left="0" w:right="113"/>
        <w:jc w:val="both"/>
        <w:rPr>
          <w:rFonts w:ascii="Calibri" w:hAnsi="Calibri" w:eastAsia="Calibri" w:cs="Calibri"/>
          <w:b/>
          <w:i w:val="false"/>
          <w:i w:val="false"/>
          <w:caps w:val="false"/>
          <w:smallCaps w:val="false"/>
          <w:strike w:val="false"/>
          <w:dstrike w:val="false"/>
          <w:color w:val="3465A4"/>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3465A4"/>
          <w:position w:val="0"/>
          <w:sz w:val="28"/>
          <w:sz w:val="28"/>
          <w:szCs w:val="28"/>
          <w:u w:val="none"/>
          <w:shd w:fill="auto" w:val="clear"/>
          <w:vertAlign w:val="baseline"/>
        </w:rPr>
      </w:r>
    </w:p>
    <w:p>
      <w:pPr>
        <w:pStyle w:val="normal1"/>
        <w:keepNext w:val="false"/>
        <w:keepLines w:val="false"/>
        <w:pageBreakBefore w:val="false"/>
        <w:widowControl/>
        <w:numPr>
          <w:ilvl w:val="0"/>
          <w:numId w:val="2"/>
        </w:numPr>
        <w:spacing w:lineRule="auto" w:line="240" w:before="1" w:after="0"/>
        <w:ind w:hanging="360" w:left="834" w:right="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hyperlink r:id="rId5">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Raccomandazione del Parlamento Europeo e del Consiglio del 18 giugno 2009</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Sull’istituzione di un quadro europeo di riferimento per la garanzia della qualità dell’istruzione e della formazione professionale.</w:t>
      </w:r>
    </w:p>
    <w:p>
      <w:pPr>
        <w:pStyle w:val="normal1"/>
        <w:keepNext w:val="false"/>
        <w:keepLines w:val="false"/>
        <w:pageBreakBefore w:val="false"/>
        <w:widowControl/>
        <w:numPr>
          <w:ilvl w:val="0"/>
          <w:numId w:val="2"/>
        </w:numPr>
        <w:spacing w:lineRule="auto" w:line="240" w:before="1" w:after="0"/>
        <w:ind w:hanging="360" w:left="834" w:right="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hyperlink r:id="rId6">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Raccomandazioni del Parlamento Europeo e del Consiglio del 18 giungo 2009</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Sull’istituzione di un sistema europeo di crediti per l’istruzione e la formazione professionale (ECVT).</w:t>
      </w:r>
    </w:p>
    <w:p>
      <w:pPr>
        <w:pStyle w:val="normal1"/>
        <w:keepNext w:val="false"/>
        <w:keepLines w:val="false"/>
        <w:pageBreakBefore w:val="false"/>
        <w:widowControl/>
        <w:numPr>
          <w:ilvl w:val="0"/>
          <w:numId w:val="2"/>
        </w:numPr>
        <w:spacing w:lineRule="auto" w:line="240" w:before="1" w:after="0"/>
        <w:ind w:hanging="360" w:left="834" w:right="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hyperlink r:id="rId7">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Raccomandazione del Consiglio dell’Unione Europea del 20 dicembre 2012</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Sulla convalida dell’apprendimento non formale e informale.</w:t>
      </w:r>
    </w:p>
    <w:p>
      <w:pPr>
        <w:pStyle w:val="normal1"/>
        <w:keepNext w:val="false"/>
        <w:keepLines w:val="false"/>
        <w:pageBreakBefore w:val="false"/>
        <w:widowControl/>
        <w:numPr>
          <w:ilvl w:val="0"/>
          <w:numId w:val="2"/>
        </w:numPr>
        <w:spacing w:lineRule="auto" w:line="240" w:before="1" w:after="0"/>
        <w:ind w:hanging="360" w:left="834" w:right="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hyperlink r:id="rId8">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Raccomandazione del Consiglio del 22 maggio 2017</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Sul quadro europeo delle qualifiche per l’apprendimento permanente.</w:t>
      </w:r>
    </w:p>
    <w:p>
      <w:pPr>
        <w:pStyle w:val="normal1"/>
        <w:keepNext w:val="false"/>
        <w:keepLines w:val="false"/>
        <w:pageBreakBefore w:val="false"/>
        <w:widowControl/>
        <w:numPr>
          <w:ilvl w:val="0"/>
          <w:numId w:val="2"/>
        </w:numPr>
        <w:spacing w:lineRule="auto" w:line="240" w:before="1" w:after="0"/>
        <w:ind w:hanging="360" w:left="834" w:right="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hyperlink r:id="rId9">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Decisione 2018/646 del Parlamento Europeo e del Consiglio del 18 aprile 2018</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Relativa a un quadro comune per la fornitura di servizi migliori per le competenze e le qualifiche (Europass).</w:t>
      </w:r>
    </w:p>
    <w:p>
      <w:pPr>
        <w:pStyle w:val="normal1"/>
        <w:keepNext w:val="false"/>
        <w:keepLines w:val="false"/>
        <w:pageBreakBefore w:val="false"/>
        <w:widowControl/>
        <w:numPr>
          <w:ilvl w:val="0"/>
          <w:numId w:val="2"/>
        </w:numPr>
        <w:spacing w:lineRule="auto" w:line="240" w:before="1" w:after="0"/>
        <w:ind w:hanging="360" w:left="834" w:right="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hyperlink r:id="rId10">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Raccomandazione del Consiglio dell’Unione Europea del 22 maggio 2018</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Relativa alle competenze chiave per l’apprendimento permanente.</w:t>
      </w:r>
    </w:p>
    <w:p>
      <w:pPr>
        <w:pStyle w:val="normal1"/>
        <w:keepNext w:val="false"/>
        <w:keepLines w:val="false"/>
        <w:pageBreakBefore w:val="false"/>
        <w:widowControl/>
        <w:numPr>
          <w:ilvl w:val="0"/>
          <w:numId w:val="2"/>
        </w:numPr>
        <w:spacing w:lineRule="auto" w:line="240" w:before="1" w:after="0"/>
        <w:ind w:hanging="360" w:left="834" w:right="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hyperlink r:id="rId11">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Raccomandazione del Consiglio del 28 novembre 2022</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Sui percorsi per il successo scolastico, che sostituisce la raccomandazione del Consiglio del 28 giugno 2011 sulle politiche di riduzione dell’abbandono scolastico.</w:t>
      </w:r>
    </w:p>
    <w:p>
      <w:pPr>
        <w:pStyle w:val="normal1"/>
        <w:keepNext w:val="false"/>
        <w:keepLines w:val="false"/>
        <w:pageBreakBefore w:val="false"/>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uppressAutoHyphens w:val="true"/>
        <w:overflowPunct w:val="false"/>
        <w:bidi w:val="0"/>
        <w:spacing w:lineRule="auto" w:line="240" w:before="1" w:after="0"/>
        <w:ind w:hanging="0" w:left="0" w:right="113"/>
        <w:jc w:val="both"/>
        <w:rPr>
          <w:rFonts w:ascii="Calibri" w:hAnsi="Calibri" w:eastAsia="Calibri" w:cs="Calibri"/>
          <w:b/>
          <w:i w:val="false"/>
          <w:i w:val="false"/>
          <w:caps w:val="false"/>
          <w:smallCaps w:val="false"/>
          <w:strike w:val="false"/>
          <w:dstrike w:val="false"/>
          <w:color w:val="3465A4"/>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3465A4"/>
          <w:position w:val="0"/>
          <w:sz w:val="28"/>
          <w:sz w:val="28"/>
          <w:szCs w:val="28"/>
          <w:u w:val="none"/>
          <w:shd w:fill="auto" w:val="clear"/>
          <w:vertAlign w:val="baseline"/>
        </w:rPr>
        <w:t>Il Contesto normativo italiano</w:t>
      </w:r>
    </w:p>
    <w:p>
      <w:pPr>
        <w:pStyle w:val="normal1"/>
        <w:keepNext w:val="false"/>
        <w:keepLines w:val="false"/>
        <w:pageBreakBefore w:val="false"/>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12">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Direttiva 487 del 6 agosto 1997</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Sull’orientamento delle studentesse e degli studenti –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Nell’esercizio della loro autonomia, le scuole di ogni ordine e grado prevedono nel programma di istituto attività di orientamento […], </w:t>
      </w: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valorizzando il ruolo della didattica orientativa e della continuità educativa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13">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D. Lgs. n. 21 del 14 gennaio 2008</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Norme per la definizione dei percorsi di orientamento all’istruzione universitaria e all’alta formazione artistica, musicale e coreutica.</w:t>
      </w:r>
    </w:p>
    <w:p>
      <w:pPr>
        <w:pStyle w:val="normal1"/>
        <w:keepNext w:val="false"/>
        <w:keepLines w:val="false"/>
        <w:pageBreakBefore w:val="false"/>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14">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D. Lgs. n. 22 del 14 gennaio 2008</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Definizione dei percorsi di orientamento finalizzati alle professioni e al lavoro.</w:t>
      </w:r>
    </w:p>
    <w:p>
      <w:pPr>
        <w:pStyle w:val="normal1"/>
        <w:keepNext w:val="false"/>
        <w:keepLines w:val="false"/>
        <w:pageBreakBefore w:val="false"/>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15">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Circ. Min. n. 43 del 15 aprile 2009</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Linee Guida in materia di orientamento lungo tutto l’arco della vita.</w:t>
      </w:r>
    </w:p>
    <w:p>
      <w:pPr>
        <w:pStyle w:val="normal1"/>
        <w:keepNext w:val="false"/>
        <w:keepLines w:val="false"/>
        <w:pageBreakBefore w:val="false"/>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16">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Accordo tra Governo, Regioni ed Enti locali del 5 dicembre 2013</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Definizione delle Linee Guida del sistema nazionale sull’orientamento permanente.</w:t>
      </w:r>
    </w:p>
    <w:p>
      <w:pPr>
        <w:pStyle w:val="normal1"/>
        <w:keepNext w:val="false"/>
        <w:keepLines w:val="false"/>
        <w:pageBreakBefore w:val="false"/>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17">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Nota Min. n. 4232 del 19 febbraio 2014</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Linee Guida Nazionali per l’orientamento permanente approvate il 5 dicembre 2013.</w:t>
      </w:r>
    </w:p>
    <w:p>
      <w:pPr>
        <w:pStyle w:val="normal1"/>
        <w:keepNext w:val="false"/>
        <w:keepLines w:val="false"/>
        <w:pageBreakBefore w:val="false"/>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18">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Accordo tra Governo, Regioni ed Enti locali del 13 novembre 2014</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Definizione di standard minimi dei servizi delle competenze professionali degli operatori con riferimento alle funzioni e ai servizi di orientamento.</w:t>
      </w:r>
    </w:p>
    <w:p>
      <w:pPr>
        <w:pStyle w:val="normal1"/>
        <w:keepNext w:val="false"/>
        <w:keepLines w:val="false"/>
        <w:pageBreakBefore w:val="false"/>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19">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CSPI – 18 gennaio 2018 Parere autonomo espresso dal CSPI</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in materia di orientamento scolastico.</w:t>
      </w:r>
    </w:p>
    <w:p>
      <w:pPr>
        <w:pStyle w:val="normal1"/>
        <w:keepNext w:val="false"/>
        <w:keepLines w:val="false"/>
        <w:pageBreakBefore w:val="false"/>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20">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Decr. Min n. 774 del 4 settembre 2019</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Linee Guida dei Percorsi per le Competenze Trasversali e per l’Orientamento (PCTO).</w:t>
      </w:r>
    </w:p>
    <w:p>
      <w:pPr>
        <w:pStyle w:val="normal1"/>
        <w:keepNext w:val="false"/>
        <w:keepLines w:val="false"/>
        <w:pageBreakBefore w:val="false"/>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21">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CSPI – 20 dicembre 2022</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Parere sull’adozione del documento «Linee Guida per l’orientamento» relativo alla riforma 1.4 nell’ambito della Missione 4.</w:t>
      </w:r>
    </w:p>
    <w:p>
      <w:pPr>
        <w:pStyle w:val="normal1"/>
        <w:keepNext w:val="false"/>
        <w:keepLines w:val="false"/>
        <w:pageBreakBefore w:val="false"/>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22">
        <w:r>
          <w:rPr>
            <w:rStyle w:val="Style7"/>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Decr. Min n. 328 del 22 dicembre 2022</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Adozione delle Linee Guida per l’orientamento relative alla riforma 1.4 «Riforma del sistema di orientamento», nell’ambito della Missione 4 – Componente 1 – del PNRR.</w:t>
      </w:r>
    </w:p>
    <w:p>
      <w:pPr>
        <w:pStyle w:val="normal1"/>
        <w:widowControl/>
        <w:numPr>
          <w:ilvl w:val="0"/>
          <w:numId w:val="3"/>
        </w:numPr>
        <w:spacing w:lineRule="auto" w:line="240" w:before="1" w:after="0"/>
        <w:ind w:hanging="36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hyperlink r:id="rId23">
        <w:r>
          <w:rPr>
            <w:rStyle w:val="Hyperlink"/>
            <w:rFonts w:eastAsia="Calibri" w:cs="Calibri" w:ascii="Calibri" w:hAnsi="Calibri"/>
            <w:b w:val="false"/>
            <w:i w:val="false"/>
            <w:caps w:val="false"/>
            <w:smallCaps w:val="false"/>
            <w:strike w:val="false"/>
            <w:dstrike w:val="false"/>
            <w:color w:val="000080"/>
            <w:position w:val="0"/>
            <w:sz w:val="24"/>
            <w:sz w:val="24"/>
            <w:szCs w:val="24"/>
            <w:u w:val="single"/>
            <w:shd w:fill="auto" w:val="clear"/>
            <w:vertAlign w:val="baseline"/>
          </w:rPr>
          <w:t>Decreto Ministeriale n. 231 del 15 novembre 2024</w:t>
        </w:r>
      </w:hyperlink>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Individuazione dei criteri di ripartizione e delle modalità di utilizzo delle risorse finanziarie di cui all’articolo 1, comma 330, della Legge 30 dicembre 2023, n. 213, finalizzate alla valorizzazione del personale scolastico con funzioni di tutor e orientatore come definite dalle Linee guida per l’orientamento adottate con Decreto del Ministro dell’istruzione e del merito n. 328 del 22 dicembre 2022 e assegnazione delle risorse per l’orientamento per le azioni e i moduli didattici di orientamento nelle classi terze, quarte e quinte delle istituzioni scolastiche secondarie di secondo grado a valere sul Programma operativo complementare “Per la Scuola” 2014-2020.</w:t>
      </w:r>
    </w:p>
    <w:p>
      <w:pPr>
        <w:pStyle w:val="normal1"/>
        <w:numPr>
          <w:ilvl w:val="0"/>
          <w:numId w:val="3"/>
        </w:numPr>
        <w:spacing w:lineRule="auto" w:line="240" w:before="1" w:after="0"/>
        <w:ind w:hanging="360" w:left="834" w:right="0"/>
        <w:jc w:val="both"/>
        <w:rPr/>
      </w:pPr>
      <w:hyperlink r:id="rId24">
        <w:r>
          <w:rPr>
            <w:rStyle w:val="Hyperlink"/>
            <w:rFonts w:eastAsia="Calibri" w:cs="Calibri" w:ascii="Calibri" w:hAnsi="Calibri"/>
            <w:b w:val="false"/>
            <w:i w:val="false"/>
            <w:caps w:val="false"/>
            <w:smallCaps w:val="false"/>
            <w:strike w:val="false"/>
            <w:dstrike w:val="false"/>
            <w:color w:val="000080"/>
            <w:position w:val="0"/>
            <w:sz w:val="24"/>
            <w:shd w:fill="auto" w:val="clear"/>
            <w:vertAlign w:val="baseline"/>
          </w:rPr>
          <w:t>Linee guida sull’orientamento – a.s. 2024/2025</w:t>
        </w:r>
      </w:hyperlink>
      <w:r>
        <w:rPr>
          <w:rStyle w:val="Hyperlink"/>
          <w:rFonts w:eastAsia="Calibri" w:cs="Calibri" w:ascii="Calibri" w:hAnsi="Calibri"/>
          <w:b w:val="false"/>
          <w:i w:val="false"/>
          <w:caps w:val="false"/>
          <w:smallCaps w:val="false"/>
          <w:strike w:val="false"/>
          <w:dstrike w:val="false"/>
          <w:color w:val="000080"/>
          <w:position w:val="0"/>
          <w:sz w:val="24"/>
          <w:shd w:fill="auto" w:val="clear"/>
          <w:vertAlign w:val="baseline"/>
        </w:rPr>
        <w:t>.</w:t>
      </w:r>
    </w:p>
    <w:p>
      <w:pPr>
        <w:pStyle w:val="normal1"/>
        <w:widowControl/>
        <w:numPr>
          <w:ilvl w:val="0"/>
          <w:numId w:val="0"/>
        </w:numPr>
        <w:spacing w:lineRule="auto" w:line="240" w:before="1" w:after="0"/>
        <w:ind w:hanging="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numPr>
          <w:ilvl w:val="0"/>
          <w:numId w:val="0"/>
        </w:numPr>
        <w:spacing w:lineRule="auto" w:line="240" w:before="1" w:after="0"/>
        <w:ind w:hanging="0" w:left="834"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BodyText"/>
        <w:shd w:val="clear" w:color="auto" w:fill="DBE5F1" w:themeFill="accent1" w:themeFillTint="33"/>
        <w:spacing w:before="7" w:after="0"/>
        <w:jc w:val="center"/>
        <w:rPr>
          <w:sz w:val="56"/>
          <w:szCs w:val="56"/>
        </w:rPr>
      </w:pPr>
      <w:r>
        <w:rPr>
          <w:sz w:val="56"/>
          <w:szCs w:val="56"/>
        </w:rPr>
        <w:t>STRUTTURA DEL PROGETTO</w:t>
      </w:r>
    </w:p>
    <w:p>
      <w:pPr>
        <w:pStyle w:val="normal1"/>
        <w:keepNext w:val="false"/>
        <w:keepLines w:val="false"/>
        <w:pageBreakBefore w:val="false"/>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Dando seguito a quanto definito nelle Linee guida ministeriali per l’orientamento adottate con il Decr. Min. n. 328/22, le azioni di orientamento della scuola saranno sostenute dall’utilizzo strategico e coordinato dei seguenti percorsi e interventi:</w:t>
      </w:r>
    </w:p>
    <w:p>
      <w:pPr>
        <w:pStyle w:val="normal1"/>
        <w:keepNext w:val="false"/>
        <w:keepLines w:val="false"/>
        <w:pageBreakBefore w:val="false"/>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numPr>
          <w:ilvl w:val="0"/>
          <w:numId w:val="1"/>
        </w:numPr>
        <w:spacing w:lineRule="auto" w:line="240" w:before="1" w:after="0"/>
        <w:ind w:hanging="360" w:left="834" w:right="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3465A4"/>
          <w:position w:val="0"/>
          <w:sz w:val="24"/>
          <w:sz w:val="24"/>
          <w:szCs w:val="24"/>
          <w:u w:val="none"/>
          <w:shd w:fill="auto" w:val="clear"/>
          <w:vertAlign w:val="baseline"/>
        </w:rPr>
        <w:t>Nuove competenze e nuovi linguaggi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ad alto contenuto innovativo, indirizzati verso gli studi e le carriere professionali nelle discipline STEM (Scienza, Tecnologia, Ingegneria e Matematica).</w:t>
      </w:r>
    </w:p>
    <w:p>
      <w:pPr>
        <w:pStyle w:val="normal1"/>
        <w:keepNext w:val="false"/>
        <w:keepLines w:val="false"/>
        <w:pageBreakBefore w:val="false"/>
        <w:widowControl/>
        <w:numPr>
          <w:ilvl w:val="0"/>
          <w:numId w:val="1"/>
        </w:numPr>
        <w:spacing w:lineRule="auto" w:line="240" w:before="1" w:after="0"/>
        <w:ind w:hanging="360" w:left="834" w:right="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3465A4"/>
          <w:position w:val="0"/>
          <w:sz w:val="24"/>
          <w:sz w:val="24"/>
          <w:szCs w:val="24"/>
          <w:u w:val="none"/>
          <w:shd w:fill="auto" w:val="clear"/>
          <w:vertAlign w:val="baseline"/>
        </w:rPr>
        <w:t>Interventi per la riduzione dei divari e della dispersione scolastica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mediante strumenti per la personalizzazione della formazione e dell’orientamento in favore degli studenti con difficoltà scolastiche al fine di sostenerli nelle scelte didattiche e formative, anche con il coinvolgimento delle famiglie.</w:t>
      </w:r>
    </w:p>
    <w:p>
      <w:pPr>
        <w:pStyle w:val="normal1"/>
        <w:keepNext w:val="false"/>
        <w:keepLines w:val="false"/>
        <w:pageBreakBefore w:val="false"/>
        <w:widowControl/>
        <w:numPr>
          <w:ilvl w:val="0"/>
          <w:numId w:val="1"/>
        </w:numPr>
        <w:spacing w:lineRule="auto" w:line="240" w:before="1" w:after="0"/>
        <w:ind w:hanging="360" w:left="834" w:right="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3465A4"/>
          <w:position w:val="0"/>
          <w:sz w:val="24"/>
          <w:sz w:val="24"/>
          <w:szCs w:val="24"/>
          <w:u w:val="none"/>
          <w:shd w:fill="auto" w:val="clear"/>
          <w:vertAlign w:val="baseline"/>
        </w:rPr>
        <w:t>Didattica digitale integrata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che consente la frequenza di percorsi formativi per il personale scolastico sulla digitalizzazione nonché sull’utilizzo di metodologie didattiche innovative, anche con riferimento ad attività orientative personalizzate, svolte ponendo al centro lo studente e le sue aspirazioni per far emergere i talenti di ciascuno.</w:t>
      </w:r>
    </w:p>
    <w:p>
      <w:pPr>
        <w:pStyle w:val="normal1"/>
        <w:keepNext w:val="false"/>
        <w:keepLines w:val="false"/>
        <w:pageBreakBefore w:val="false"/>
        <w:widowControl/>
        <w:numPr>
          <w:ilvl w:val="0"/>
          <w:numId w:val="1"/>
        </w:numPr>
        <w:spacing w:lineRule="auto" w:line="240" w:before="1" w:after="0"/>
        <w:ind w:hanging="360" w:left="834" w:right="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3465A4"/>
          <w:position w:val="0"/>
          <w:sz w:val="24"/>
          <w:sz w:val="24"/>
          <w:szCs w:val="24"/>
          <w:u w:val="none"/>
          <w:shd w:fill="auto" w:val="clear"/>
          <w:vertAlign w:val="baseline"/>
        </w:rPr>
        <w:t xml:space="preserve">Sviluppo del sistema di formazione terziaria degli ITS </w:t>
      </w:r>
      <w:r>
        <w:rPr>
          <w:rFonts w:eastAsia="Calibri" w:cs="Calibri" w:ascii="Calibri" w:hAnsi="Calibri"/>
          <w:b/>
          <w:color w:val="3465A4"/>
        </w:rPr>
        <w:t>Academy</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che prevede lo svolgimento di attività di orientamento verso il conseguimento di qualifiche innovative ad alto contenuto tecnologico e con importanti esiti occupazionali promosse dagli Istituti tecnologici superiori.</w:t>
      </w:r>
    </w:p>
    <w:p>
      <w:pPr>
        <w:pStyle w:val="normal1"/>
        <w:keepNext w:val="false"/>
        <w:keepLines w:val="false"/>
        <w:pageBreakBefore w:val="false"/>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 percorsi elencati saranno realizzati ricorrendo ai seguenti modelli orientativi, scelti in relazioni alle diverse esigenze e specificità contestuali e individuali:</w:t>
      </w:r>
    </w:p>
    <w:p>
      <w:pPr>
        <w:pStyle w:val="normal1"/>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numPr>
          <w:ilvl w:val="0"/>
          <w:numId w:val="5"/>
        </w:numPr>
        <w:spacing w:lineRule="auto" w:line="240" w:before="1" w:after="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3465A4"/>
          <w:position w:val="0"/>
          <w:sz w:val="24"/>
          <w:sz w:val="24"/>
          <w:szCs w:val="24"/>
          <w:u w:val="none"/>
          <w:shd w:fill="auto" w:val="clear"/>
          <w:vertAlign w:val="baseline"/>
        </w:rPr>
        <w:t>Modello informativo: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nel quale l’orientamento si basa sulla fornitura di informazioni oggettive e dettagliate sulle opzioni disponibili. l’alunno riceve dati su carriere, istruzione e formazione, ma la scelta finale rimane comunque nelle mani dello studente</w:t>
      </w:r>
    </w:p>
    <w:p>
      <w:pPr>
        <w:pStyle w:val="normal1"/>
        <w:widowControl/>
        <w:numPr>
          <w:ilvl w:val="0"/>
          <w:numId w:val="5"/>
        </w:numPr>
        <w:spacing w:lineRule="auto" w:line="240" w:before="1" w:after="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3465A4"/>
          <w:position w:val="0"/>
          <w:sz w:val="24"/>
          <w:sz w:val="24"/>
          <w:szCs w:val="24"/>
          <w:u w:val="none"/>
          <w:shd w:fill="auto" w:val="clear"/>
          <w:vertAlign w:val="baseline"/>
        </w:rPr>
        <w:t>Modello di consulenza: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nel quale un consulente o un esperto  – il docente tutor, nella fattispecie – guida lo studente attraverso il processo decisionale. Il consulente offre suggerimenti e supporto, ma la decisione finale spetta ancora all’alunno.</w:t>
      </w:r>
    </w:p>
    <w:p>
      <w:pPr>
        <w:pStyle w:val="normal1"/>
        <w:widowControl/>
        <w:numPr>
          <w:ilvl w:val="0"/>
          <w:numId w:val="4"/>
        </w:numPr>
        <w:spacing w:lineRule="auto" w:line="240" w:before="1" w:after="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3465A4"/>
          <w:position w:val="0"/>
          <w:sz w:val="24"/>
          <w:sz w:val="24"/>
          <w:szCs w:val="24"/>
          <w:u w:val="none"/>
          <w:shd w:fill="auto" w:val="clear"/>
          <w:vertAlign w:val="baseline"/>
        </w:rPr>
        <w:t>Modello di sviluppo delle competenze.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Questo approccio si concentra sulla crescita delle competenze personali e professionali. Gli alunni acquisiscono abilità di autovalutazione, pianificazione e gestione delle carriere.</w:t>
      </w:r>
    </w:p>
    <w:p>
      <w:pPr>
        <w:pStyle w:val="normal1"/>
        <w:widowControl/>
        <w:numPr>
          <w:ilvl w:val="0"/>
          <w:numId w:val="4"/>
        </w:numPr>
        <w:spacing w:lineRule="auto" w:line="240" w:before="1" w:after="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3465A4"/>
          <w:position w:val="0"/>
          <w:sz w:val="24"/>
          <w:sz w:val="24"/>
          <w:szCs w:val="24"/>
          <w:u w:val="none"/>
          <w:shd w:fill="auto" w:val="clear"/>
          <w:vertAlign w:val="baseline"/>
        </w:rPr>
        <w:t>Modello di empowerment.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In questo modello, gli studenti sono incoraggiati a prendere il controllo delle proprie scelte. Si tratta di sviluppare la consapevolezza di sé, la fiducia e l’autonomia decisionale.</w:t>
      </w:r>
    </w:p>
    <w:p>
      <w:pPr>
        <w:pStyle w:val="normal1"/>
        <w:widowControl/>
        <w:numPr>
          <w:ilvl w:val="0"/>
          <w:numId w:val="4"/>
        </w:numPr>
        <w:spacing w:lineRule="auto" w:line="240" w:before="1" w:after="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3465A4"/>
          <w:position w:val="0"/>
          <w:sz w:val="24"/>
          <w:sz w:val="24"/>
          <w:szCs w:val="24"/>
          <w:u w:val="none"/>
          <w:shd w:fill="auto" w:val="clear"/>
          <w:vertAlign w:val="baseline"/>
        </w:rPr>
        <w:t>Modello di orientamento lungo tutto l’arco della vita.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Questo approccio riconosce che l’orientamento è un processo continuo. Gli individui ricevono supporto e consulenza in diverse fasi della vita, non solo durante le transizioni scolastiche o professionali.</w:t>
      </w:r>
    </w:p>
    <w:p>
      <w:pPr>
        <w:pStyle w:val="normal1"/>
        <w:widowControl/>
        <w:numPr>
          <w:ilvl w:val="0"/>
          <w:numId w:val="4"/>
        </w:numPr>
        <w:spacing w:lineRule="auto" w:line="240" w:before="1" w:after="0"/>
        <w:jc w:val="both"/>
        <w:rPr>
          <w:rFonts w:ascii="Verdana" w:hAnsi="Verdana" w:eastAsia="Verdana" w:cs="Verdan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3465A4"/>
          <w:position w:val="0"/>
          <w:sz w:val="24"/>
          <w:sz w:val="24"/>
          <w:szCs w:val="24"/>
          <w:u w:val="none"/>
          <w:shd w:fill="auto" w:val="clear"/>
          <w:vertAlign w:val="baseline"/>
        </w:rPr>
        <w:t>Modello di auto-orientamento.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Qui, gli studenti sono incoraggiati a esplorare autonomamente le opzioni, a riflettere sulle proprie preferenze e a prendere decisioni basate su conoscenze personali.</w:t>
      </w:r>
    </w:p>
    <w:p>
      <w:pPr>
        <w:pStyle w:val="normal1"/>
        <w:keepNext w:val="false"/>
        <w:keepLines w:val="false"/>
        <w:pageBreakBefore w:val="false"/>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pacing w:lineRule="auto" w:line="240" w:before="1" w:after="0"/>
        <w:ind w:hanging="0" w:left="114" w:right="103"/>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Nel progetto sono incluse tutte le attività didattiche svolte dai docenti in classe, riconosciute come caratterizzate dalla didattica orientativa, secondo quanto definito dalle norme e dalla dottrina in materia; i</w:t>
      </w:r>
      <w:r>
        <w:rPr>
          <w:rFonts w:eastAsia="Calibri" w:cs="Calibri" w:ascii="Calibri" w:hAnsi="Calibri"/>
          <w:b w:val="false"/>
          <w:i w:val="false"/>
          <w:caps w:val="false"/>
          <w:smallCaps w:val="false"/>
          <w:strike w:val="false"/>
          <w:dstrike w:val="false"/>
          <w:color w:val="000000"/>
          <w:position w:val="0"/>
          <w:sz w:val="24"/>
          <w:sz w:val="24"/>
          <w:u w:val="none"/>
          <w:shd w:fill="auto" w:val="clear"/>
          <w:vertAlign w:val="baseline"/>
        </w:rPr>
        <w:t>n particolare:</w:t>
      </w:r>
    </w:p>
    <w:p>
      <w:pPr>
        <w:pStyle w:val="normal1"/>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3465A4"/>
          <w:position w:val="0"/>
          <w:sz w:val="32"/>
          <w:sz w:val="32"/>
          <w:szCs w:val="32"/>
          <w:u w:val="none"/>
          <w:shd w:fill="auto" w:val="clear"/>
          <w:vertAlign w:val="baseline"/>
        </w:rPr>
      </w:pPr>
      <w:r>
        <w:rPr>
          <w:rFonts w:eastAsia="Calibri" w:cs="Calibri" w:ascii="Calibri" w:hAnsi="Calibri"/>
          <w:b/>
          <w:i w:val="false"/>
          <w:caps w:val="false"/>
          <w:smallCaps w:val="false"/>
          <w:strike w:val="false"/>
          <w:dstrike w:val="false"/>
          <w:color w:val="3465A4"/>
          <w:position w:val="0"/>
          <w:sz w:val="32"/>
          <w:sz w:val="32"/>
          <w:szCs w:val="32"/>
          <w:u w:val="none"/>
          <w:shd w:fill="auto" w:val="clear"/>
          <w:vertAlign w:val="baseline"/>
        </w:rPr>
      </w:r>
    </w:p>
    <w:p>
      <w:pPr>
        <w:pStyle w:val="normal1"/>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3465A4"/>
          <w:position w:val="0"/>
          <w:sz w:val="32"/>
          <w:sz w:val="32"/>
          <w:szCs w:val="32"/>
          <w:u w:val="none"/>
          <w:shd w:fill="auto" w:val="clear"/>
          <w:vertAlign w:val="baseline"/>
        </w:rPr>
      </w:pPr>
      <w:r>
        <w:rPr>
          <w:rFonts w:eastAsia="Calibri" w:cs="Calibri" w:ascii="Calibri" w:hAnsi="Calibri"/>
          <w:b/>
          <w:i w:val="false"/>
          <w:caps w:val="false"/>
          <w:smallCaps w:val="false"/>
          <w:strike w:val="false"/>
          <w:dstrike w:val="false"/>
          <w:color w:val="3465A4"/>
          <w:position w:val="0"/>
          <w:sz w:val="32"/>
          <w:sz w:val="32"/>
          <w:szCs w:val="32"/>
          <w:u w:val="none"/>
          <w:shd w:fill="auto" w:val="clear"/>
          <w:vertAlign w:val="baseline"/>
        </w:rPr>
        <w:t>ATTIVITÀ PER LE CLASSI TERZE</w:t>
      </w:r>
    </w:p>
    <w:p>
      <w:pPr>
        <w:pStyle w:val="normal1"/>
        <w:keepNext w:val="false"/>
        <w:keepLines w:val="false"/>
        <w:pageBreakBefore w:val="false"/>
        <w:widowControl/>
        <w:spacing w:lineRule="auto" w:line="240" w:before="0" w:after="0"/>
        <w:ind w:hanging="0" w:left="0" w:right="0"/>
        <w:jc w:val="center"/>
        <w:rPr>
          <w:rFonts w:ascii="Verdana" w:hAnsi="Verdana" w:eastAsia="Verdana" w:cs="Verdana"/>
          <w:b w:val="false"/>
          <w:i w:val="false"/>
          <w:i w:val="false"/>
          <w:caps w:val="false"/>
          <w:smallCaps w:val="false"/>
          <w:strike w:val="false"/>
          <w:dstrike w:val="false"/>
          <w:color w:val="3465A4"/>
          <w:position w:val="0"/>
          <w:sz w:val="24"/>
          <w:sz w:val="24"/>
          <w:szCs w:val="24"/>
          <w:u w:val="none"/>
          <w:shd w:fill="auto" w:val="clear"/>
          <w:vertAlign w:val="baseline"/>
        </w:rPr>
      </w:pPr>
      <w:r>
        <w:rPr>
          <w:rFonts w:eastAsia="Verdana" w:cs="Verdana" w:ascii="Verdana" w:hAnsi="Verdana"/>
          <w:b w:val="false"/>
          <w:i w:val="false"/>
          <w:caps w:val="false"/>
          <w:smallCaps w:val="false"/>
          <w:strike w:val="false"/>
          <w:dstrike w:val="false"/>
          <w:color w:val="3465A4"/>
          <w:position w:val="0"/>
          <w:sz w:val="24"/>
          <w:sz w:val="24"/>
          <w:szCs w:val="24"/>
          <w:u w:val="none"/>
          <w:shd w:fill="auto" w:val="clear"/>
          <w:vertAlign w:val="baseline"/>
        </w:rPr>
      </w:r>
    </w:p>
    <w:tbl>
      <w:tblPr>
        <w:tblW w:w="9744" w:type="dxa"/>
        <w:jc w:val="left"/>
        <w:tblInd w:w="108" w:type="dxa"/>
        <w:tblLayout w:type="fixed"/>
        <w:tblCellMar>
          <w:top w:w="0" w:type="dxa"/>
          <w:left w:w="108" w:type="dxa"/>
          <w:bottom w:w="0" w:type="dxa"/>
          <w:right w:w="108" w:type="dxa"/>
        </w:tblCellMar>
      </w:tblPr>
      <w:tblGrid>
        <w:gridCol w:w="1750"/>
        <w:gridCol w:w="2436"/>
        <w:gridCol w:w="2209"/>
        <w:gridCol w:w="3348"/>
      </w:tblGrid>
      <w:tr>
        <w:trPr/>
        <w:tc>
          <w:tcPr>
            <w:tcW w:w="1750" w:type="dxa"/>
            <w:vMerge w:val="restart"/>
            <w:tcBorders>
              <w:top w:val="single" w:sz="4" w:space="0" w:color="000000"/>
              <w:left w:val="single" w:sz="4" w:space="0" w:color="000000"/>
              <w:bottom w:val="single" w:sz="4" w:space="0" w:color="000000"/>
            </w:tcBorders>
            <w:shd w:fill="DDE8CB" w:val="clear"/>
            <w:vAlign w:val="center"/>
          </w:tcPr>
          <w:p>
            <w:pPr>
              <w:pStyle w:val="normal1"/>
              <w:keepNext w:val="false"/>
              <w:keepLines w:val="false"/>
              <w:widowControl w:val="false"/>
              <w:spacing w:lineRule="auto" w:line="240" w:before="0" w:after="0"/>
              <w:ind w:hanging="0" w:left="0" w:right="0"/>
              <w:jc w:val="center"/>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Attività</w:t>
            </w:r>
          </w:p>
        </w:tc>
        <w:tc>
          <w:tcPr>
            <w:tcW w:w="4645" w:type="dxa"/>
            <w:gridSpan w:val="2"/>
            <w:tcBorders>
              <w:top w:val="single" w:sz="4" w:space="0" w:color="000000"/>
              <w:left w:val="single" w:sz="4" w:space="0" w:color="000000"/>
              <w:bottom w:val="single" w:sz="4" w:space="0" w:color="000000"/>
            </w:tcBorders>
            <w:shd w:fill="DDE8CB" w:val="clear"/>
            <w:vAlign w:val="center"/>
          </w:tcPr>
          <w:p>
            <w:pPr>
              <w:pStyle w:val="normal1"/>
              <w:widowControl w:val="false"/>
              <w:spacing w:lineRule="auto" w:line="240" w:before="0" w:after="0"/>
              <w:ind w:left="0" w:right="0"/>
              <w:jc w:val="center"/>
              <w:rPr>
                <w:rFonts w:ascii="Calibri" w:hAnsi="Calibri"/>
                <w:sz w:val="24"/>
                <w:szCs w:val="24"/>
              </w:rPr>
            </w:pPr>
            <w:r>
              <w:rPr>
                <w:rFonts w:eastAsia="Calibri" w:cs="Calibri" w:ascii="Calibri" w:hAnsi="Calibri"/>
                <w:b/>
                <w:sz w:val="24"/>
                <w:szCs w:val="24"/>
              </w:rPr>
              <w:t>Obiettivi formativi</w:t>
            </w:r>
          </w:p>
        </w:tc>
        <w:tc>
          <w:tcPr>
            <w:tcW w:w="3348" w:type="dxa"/>
            <w:vMerge w:val="restart"/>
            <w:tcBorders>
              <w:top w:val="single" w:sz="4" w:space="0" w:color="000000"/>
              <w:left w:val="single" w:sz="4" w:space="0" w:color="000000"/>
              <w:bottom w:val="single" w:sz="4" w:space="0" w:color="000000"/>
              <w:right w:val="single" w:sz="4" w:space="0" w:color="000000"/>
            </w:tcBorders>
            <w:shd w:fill="DDE8CB" w:val="clear"/>
            <w:vAlign w:val="center"/>
          </w:tcPr>
          <w:p>
            <w:pPr>
              <w:pStyle w:val="normal1"/>
              <w:keepNext w:val="false"/>
              <w:keepLines w:val="false"/>
              <w:widowControl w:val="false"/>
              <w:spacing w:lineRule="auto" w:line="240" w:before="0" w:after="0"/>
              <w:ind w:hanging="0" w:left="0" w:right="0"/>
              <w:jc w:val="center"/>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Pratiche corrispondenti</w:t>
            </w:r>
          </w:p>
        </w:tc>
      </w:tr>
      <w:tr>
        <w:trPr/>
        <w:tc>
          <w:tcPr>
            <w:tcW w:w="1750" w:type="dxa"/>
            <w:vMerge w:val="continue"/>
            <w:tcBorders>
              <w:left w:val="single" w:sz="4" w:space="0" w:color="000000"/>
              <w:bottom w:val="single" w:sz="4" w:space="0" w:color="000000"/>
            </w:tcBorders>
            <w:shd w:fill="DDE8CB" w:val="clear"/>
            <w:vAlign w:val="center"/>
          </w:tcPr>
          <w:p>
            <w:pPr>
              <w:pStyle w:val="Normal"/>
              <w:rPr>
                <w:rFonts w:ascii="Calibri" w:hAnsi="Calibri"/>
                <w:sz w:val="24"/>
                <w:szCs w:val="24"/>
              </w:rPr>
            </w:pPr>
            <w:r>
              <w:rPr>
                <w:sz w:val="24"/>
                <w:szCs w:val="24"/>
              </w:rPr>
            </w:r>
          </w:p>
        </w:tc>
        <w:tc>
          <w:tcPr>
            <w:tcW w:w="2436" w:type="dxa"/>
            <w:tcBorders>
              <w:left w:val="single" w:sz="4" w:space="0" w:color="000000"/>
              <w:bottom w:val="single" w:sz="4" w:space="0" w:color="000000"/>
            </w:tcBorders>
            <w:shd w:fill="F6F9D4" w:val="clear"/>
            <w:vAlign w:val="center"/>
          </w:tcPr>
          <w:p>
            <w:pPr>
              <w:pStyle w:val="normal1"/>
              <w:keepNext w:val="false"/>
              <w:keepLines w:val="false"/>
              <w:widowControl w:val="false"/>
              <w:spacing w:lineRule="auto" w:line="240" w:before="0" w:after="0"/>
              <w:ind w:hanging="0" w:left="0" w:right="0"/>
              <w:jc w:val="center"/>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Abilità/Competenze</w:t>
            </w:r>
          </w:p>
        </w:tc>
        <w:tc>
          <w:tcPr>
            <w:tcW w:w="2209" w:type="dxa"/>
            <w:tcBorders>
              <w:left w:val="single" w:sz="4" w:space="0" w:color="000000"/>
              <w:bottom w:val="single" w:sz="4" w:space="0" w:color="000000"/>
            </w:tcBorders>
            <w:shd w:fill="F6F9D4" w:val="clear"/>
            <w:vAlign w:val="center"/>
          </w:tcPr>
          <w:p>
            <w:pPr>
              <w:pStyle w:val="normal1"/>
              <w:keepNext w:val="false"/>
              <w:keepLines w:val="false"/>
              <w:widowControl w:val="false"/>
              <w:spacing w:lineRule="auto" w:line="240" w:before="0" w:after="0"/>
              <w:ind w:hanging="0" w:left="0" w:right="0"/>
              <w:jc w:val="center"/>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Conoscenze</w:t>
            </w:r>
          </w:p>
        </w:tc>
        <w:tc>
          <w:tcPr>
            <w:tcW w:w="3348" w:type="dxa"/>
            <w:vMerge w:val="continue"/>
            <w:tcBorders>
              <w:left w:val="single" w:sz="4" w:space="0" w:color="000000"/>
              <w:bottom w:val="single" w:sz="4" w:space="0" w:color="000000"/>
              <w:right w:val="single" w:sz="4" w:space="0" w:color="000000"/>
            </w:tcBorders>
            <w:shd w:fill="DDE8CB" w:val="clear"/>
            <w:vAlign w:val="center"/>
          </w:tcPr>
          <w:p>
            <w:pPr>
              <w:pStyle w:val="Normal"/>
              <w:rPr>
                <w:rFonts w:ascii="Calibri" w:hAnsi="Calibri"/>
                <w:sz w:val="24"/>
                <w:szCs w:val="24"/>
              </w:rPr>
            </w:pPr>
            <w:r>
              <w:rPr>
                <w:sz w:val="24"/>
                <w:szCs w:val="24"/>
              </w:rPr>
            </w:r>
          </w:p>
        </w:tc>
      </w:tr>
      <w:tr>
        <w:trPr/>
        <w:tc>
          <w:tcPr>
            <w:tcW w:w="1750" w:type="dxa"/>
            <w:tcBorders>
              <w:left w:val="single" w:sz="4" w:space="0" w:color="000000"/>
              <w:bottom w:val="single" w:sz="4" w:space="0" w:color="000000"/>
            </w:tcBorders>
            <w:shd w:fill="F2F5E8" w:val="clear"/>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Orientamento attivo nella transizione scuola-università organizzati dalle università – Corsi della durata di 15 ore a cura dell’</w:t>
            </w:r>
            <w:hyperlink r:id="rId25">
              <w:r>
                <w:rPr>
                  <w:rStyle w:val="Style7"/>
                  <w:rFonts w:eastAsia="Calibri" w:cs="Calibri" w:ascii="Calibri" w:hAnsi="Calibri"/>
                  <w:b/>
                  <w:i w:val="false"/>
                  <w:caps w:val="false"/>
                  <w:smallCaps w:val="false"/>
                  <w:strike w:val="false"/>
                  <w:dstrike w:val="false"/>
                  <w:color w:val="000080"/>
                  <w:position w:val="0"/>
                  <w:sz w:val="24"/>
                  <w:sz w:val="24"/>
                  <w:szCs w:val="24"/>
                  <w:u w:val="single"/>
                  <w:shd w:fill="auto" w:val="clear"/>
                  <w:vertAlign w:val="baseline"/>
                </w:rPr>
                <w:t>Università di Padova</w:t>
              </w:r>
            </w:hyperlink>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e dell’</w:t>
            </w:r>
            <w:hyperlink r:id="rId26">
              <w:r>
                <w:rPr>
                  <w:rStyle w:val="Style7"/>
                  <w:rFonts w:eastAsia="Calibri" w:cs="Calibri" w:ascii="Calibri" w:hAnsi="Calibri"/>
                  <w:b/>
                  <w:i w:val="false"/>
                  <w:caps w:val="false"/>
                  <w:smallCaps w:val="false"/>
                  <w:strike w:val="false"/>
                  <w:dstrike w:val="false"/>
                  <w:color w:val="000080"/>
                  <w:position w:val="0"/>
                  <w:sz w:val="24"/>
                  <w:sz w:val="24"/>
                  <w:szCs w:val="24"/>
                  <w:u w:val="single"/>
                  <w:shd w:fill="auto" w:val="clear"/>
                  <w:vertAlign w:val="baseline"/>
                </w:rPr>
                <w:t>Università Ca’ Foscari di Venezia</w:t>
              </w:r>
            </w:hyperlink>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w:t>
            </w:r>
          </w:p>
        </w:tc>
        <w:tc>
          <w:tcPr>
            <w:tcW w:w="2436"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Autoconsapevolezza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conoscere le proprie inclinazioni, interessi e punti di forza. Questo li aiuta a fare scelte informate riguardo ai percorsi di studio universitari o alle carriere professionali.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Orientamento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acquisiscono una comprensione delle diverse opzioni di carriera e dei requisiti per ciascuna. Imparano a valutare le opportunità di lavoro e a individuare le professioni che meglio si adattano alle loro aspirazioni.</w:t>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ricerca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cercare informazioni sulle università, i corsi di laurea, le opportunità di studio e le prospettive di carriera. Questa abilità è essenziale per prendere decisioni informate.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comunicazione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comunicare efficacemente con i consulenti universitari, i docenti e gli esperti del settore. Questo include la scrittura di e-mail, la partecipazione a sessioni informative e la partecipazione a eventi di orientamento.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Pianificazione e gestione del tempo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pianificare il loro percorso di studio, a gestire gli impegni accademici e a bilanciare studio, lavoro e vita personale.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adattamento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 transizione scuola-università può essere complessa. Gli studenti imparano a gestire il cambiamento, a superare le sfide e a sviluppare una mentalità aperta.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networking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connettersi con altri studenti, docenti e professionisti del settore. Questo può aiutarli a creare opportunità di stage, tirocini e collaborazioni future.</w:t>
            </w:r>
          </w:p>
        </w:tc>
        <w:tc>
          <w:tcPr>
            <w:tcW w:w="220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sistema universitario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comprendere come funzionano le università, i diversi dipartimenti, le strutture accademiche e le risorse disponibili. Questo include informazioni sulle modalità di iscrizione, i requisiti di ammissione e i programmi di studio offerti.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Informazioni sui corsi di laurea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esplorano i vari corsi di laurea disponibili, compresi i contenuti dei corsi, le specializzazioni e le opportunità di studio. Questo aiuta gli studenti a fare scelte informate sulla loro futura carriera accademica.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Comprensione delle opportunità di carriera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l’orientamento, gli studenti apprendono quali sono le prospettive di carriera associate a determinati percorsi di studio. Questo include informazioni sulle professioni correlate a ciascun corso di laurea e le competenze richieste per avere successo in quei campi.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risorse di supporto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vengono informati sulle risorse di supporto disponibili all’interno dell’università, come i servizi di tutorato, i centri di consulenza, le biblioteche e i laboratori. Queste risorse possono aiutarli a superare eventuali difficoltà accademiche.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Comprensione delle aspettative accademiche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apprendono cosa ci si aspetta da loro in termini di partecipazione alle lezioni, studio individuale, esami e valutazioni. Questo li aiuta a prepararsi adeguatamente per l’ambiente universitario.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Sensibilizzazione alla diversità e all’inclusione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l’orientamento, gli studenti possono partecipare a sessioni che promuovono la consapevolezza della diversità culturale, sociale ed etnica. Questo li aiuta a sviluppare una mentalità aperta e rispettosa verso gli altri.</w:t>
            </w:r>
          </w:p>
        </w:tc>
        <w:tc>
          <w:tcPr>
            <w:tcW w:w="3348"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 corsi di 15 ore sono composti da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moduli tematici differenti.</w:t>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Ciascun corso comprende uno o più moduli di carattere trasversale (con focus su temi quali: funzionamento mondo universitario, opportunità di formazione post diploma, bilancio di competenze, processo di scelta e di decision making, conoscenza di sé, autovalutazione, consapevolezza delle scelte, riflessioni su obiettivi e su prospettive future, sviluppo di competenze trasversali specifiche, aspetti comunicativi, narrativi, lavoro di gruppo e problem solving, aspetti emotivi e psicologici legati all'orientamento, mondo del lavoro e delle professioni), e moduli di carattere disciplinare, che hanno l’obiettivo di proporre agli alunni e alle alunne un’esperienza didattica disciplinare attiva, partecipativa e laboratoriale. Tali moduli introducono le diverse discipline evidenziando la loro eventuale correlazione con tematiche attuali e di interesse generale, menzionando contesti applicativi non immediati o focalizzando l’attenzione verso professioni e sbocchi occupazionali nuovi o poco noti.</w:t>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La maggioranza dei corsi, prevede un modulo conclusivo erogato on line, dedicato allo sviluppo delle soft skills.</w:t>
            </w:r>
          </w:p>
        </w:tc>
      </w:tr>
      <w:tr>
        <w:trPr/>
        <w:tc>
          <w:tcPr>
            <w:tcW w:w="1750" w:type="dxa"/>
            <w:tcBorders>
              <w:left w:val="single" w:sz="4" w:space="0" w:color="000000"/>
              <w:bottom w:val="single" w:sz="4" w:space="0" w:color="000000"/>
            </w:tcBorders>
            <w:shd w:fill="F2F5E8" w:val="clear"/>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Incontri orientativi con</w:t>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le ITS </w:t>
            </w:r>
            <w:r>
              <w:rPr>
                <w:rFonts w:eastAsia="Calibri" w:cs="Calibri" w:ascii="Calibri" w:hAnsi="Calibri"/>
                <w:b/>
                <w:sz w:val="24"/>
                <w:szCs w:val="24"/>
              </w:rPr>
              <w:t>Academy</w:t>
            </w:r>
          </w:p>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2436"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comunicative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Dominio dei diversi linguaggi, verbali e non, quotidiani, disciplinari e logici.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cognitive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comprendere ed elaborare il pensiero astratto e di acquisire un buon metodo di apprendimento.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e strategie metacognitive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Consapevolezza, monitoraggio, autovalutazione, predizione e progettazione.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e strategie metaemozionali o psico-sociali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Autoconsapevolezza, autocontrollo, motivazione, empatia e competenze sociali.</w:t>
            </w:r>
          </w:p>
        </w:tc>
        <w:tc>
          <w:tcPr>
            <w:tcW w:w="220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Conoscenza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dei seguenti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aspetti chiave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riguardanti gli</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ITS </w:t>
            </w:r>
            <w:r>
              <w:rPr>
                <w:rFonts w:eastAsia="Calibri" w:cs="Calibri" w:ascii="Calibri" w:hAnsi="Calibri"/>
                <w:b/>
                <w:sz w:val="24"/>
                <w:szCs w:val="24"/>
              </w:rPr>
              <w:t>Academy:</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Formazione Tecnica Avanzata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offrono corsi gratuiti della durata di due anni, fornendo una formazione tecnica altamente qualificata. Sono una valida alternativa all’università per coloro che desiderano specializzarsi in ambiti tecnologici.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Titolo di Tecnico Superiore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Al termine del percorso, gli studenti conseguono il titolo di tecnico superiore, che è riconosciuto a livello nazionale.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Connessione con l’Industria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sono espressione di una strategia che mira a collegare le competenze tecniche con le esigenze del mondo del lavoro e dell’industria.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Decreti Attuativi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 legge n. 99/2022 ha istituito il Sistema terziario di istruzione tecnologica superiore, e gli ITS sono parte integrante di questo sistema.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Focus su Settori Specifici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si specializzano in settori specifici, come l’automazione industriale, l’informatica, la meccatronica, l’energia rinnovabile e altro ancora. Questo consente agli studenti di concentrarsi su aree di interesse specifiche.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Stage e Opportunità di Lavoro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il percorso di studio, gli studenti hanno l’opportunità di svolgere stage presso aziende partner. Questo favorisce l’inserimento nel mondo del lavoro una volta completato il corso.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Networking e Crescita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offrono un ambiente di networking, consentendo agli studenti di connettersi con professionisti del settore e partecipare a eventi e conferenze.</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3348"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Panoramica sugli ITS </w:t>
            </w:r>
            <w:r>
              <w:rPr>
                <w:rFonts w:eastAsia="Calibri" w:cs="Calibri" w:ascii="Calibri" w:hAnsi="Calibri"/>
                <w:b/>
                <w:sz w:val="24"/>
                <w:szCs w:val="24"/>
              </w:rPr>
              <w:t>Academy:</w:t>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Cosa sono gli ITS e come si differenziano da altre istituzioni di formazione.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Ruolo degli ITS nel collegamento tra istruzione, industria e lavoro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Esempi di settori tecnologici coperti dagli ITS</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Focus su Settori Specifici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Presentazione dei principali settori di specializzazione dell’ITS (ad esempio: automazione industriale, informatica, energia rinnovabile).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Sessione di Domande e Risposte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Gli studenti possono porre domande agli esperti ITS.</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Feedback e Conclusioni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Raccolta di feedback dagli studenti.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Invito a visitare l’ITS per ulteriori informazioni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tc>
      </w:tr>
      <w:tr>
        <w:trPr/>
        <w:tc>
          <w:tcPr>
            <w:tcW w:w="1750" w:type="dxa"/>
            <w:tcBorders>
              <w:left w:val="single" w:sz="4" w:space="0" w:color="000000"/>
              <w:bottom w:val="single" w:sz="4" w:space="0" w:color="000000"/>
            </w:tcBorders>
            <w:shd w:fill="F2F5E8" w:val="clear"/>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Visite guidate orientative</w:t>
            </w:r>
          </w:p>
        </w:tc>
        <w:tc>
          <w:tcPr>
            <w:tcW w:w="2436"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Lavoro di gruppo costruttivo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le visite guidate, gli studenti collaborano con i loro compagni di classe e imparano a lavorare insieme in modo produttivo.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Empatia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Interagendo con guide, compagni di classe e luoghi visitati, gli studenti sviluppano la capacità di comprendere e rispettare le prospettive altrui.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Gestione del tempo e delle informazioni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Le visite guidate richiedono pianificazione e organizzazione. Gli studenti imparano a gestire il proprio tempo e a selezionare le informazioni rilevanti.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narrative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Queste competenze riguardano la capacità di assumere il controllo sulla propria esistenza attraverso il linguaggio. Includono la capacità di individuare collegamenti, relazioni e di comunicare in modo efficace.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chiave di cittadinanza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Queste competenze includono imparare a imparare, progettare, comunicare, collaborare, agire in modo autonomo e responsabile, risolvere problemi, individuare collegamenti e relazioni, e acquisire ed interpretare l'informazione.</w:t>
            </w:r>
          </w:p>
        </w:tc>
        <w:tc>
          <w:tcPr>
            <w:tcW w:w="220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contesto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la visita, gli studenti possono apprendere informazioni specifiche sul luogo o sull’istituzione visitata. Questo include la storia, la missione, le risorse disponibili e le opportunità offerte.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3348"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Presentazione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Introduzione all’esposizione o al luogo che verrà visitato. Spiegazione del contesto e dell’importanza dei contenuti.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Approccio didattico e divulgativo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 visita guidata può essere sia un momento di didattica (insegnamento) che di divulgazione (spiegazione). L’obiettivo è rendere il messaggio comprensibile, adattandolo alle conoscenze e alle competenze degli studenti.</w:t>
            </w:r>
          </w:p>
        </w:tc>
      </w:tr>
      <w:tr>
        <w:trPr/>
        <w:tc>
          <w:tcPr>
            <w:tcW w:w="1750" w:type="dxa"/>
            <w:tcBorders>
              <w:left w:val="single" w:sz="4" w:space="0" w:color="000000"/>
              <w:bottom w:val="single" w:sz="4" w:space="0" w:color="000000"/>
            </w:tcBorders>
            <w:shd w:fill="F2F5E8" w:val="clear"/>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Attività di laboratorio di prodotto o di processo</w:t>
            </w:r>
          </w:p>
        </w:tc>
        <w:tc>
          <w:tcPr>
            <w:tcW w:w="2436"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Tecniche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Padronanza delle procedure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seguire procedure specifiche per creare o elaborare prodotti o processi.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Utilizzo di strumenti e attrezzature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utilizzare attrezzature, strumenti e materiali specifici per il laboratorio.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Risoluzione di problemi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sviluppano la capacità di affrontare e risolvere problemi tecnici o pratici.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Analisi e valutazione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valutare i risultati ottenuti e a identificare possibili miglioramenti.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Cognitive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Pensiero critico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valutare informazioni, prendere decisioni e risolvere problemi in modo critico.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Apprendimento attivo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L’esperienza pratica nel laboratorio favorisce l’apprendimento attivo e la comprensione dei concetti teorici.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ricerca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cercare informazioni, analizzare dati e trarre conclusioni basate su prove.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Sociali ed Emotive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Collaborazione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Lavorare in gruppo nel laboratorio sviluppa abilità di collaborazione e comunicazione.</w:t>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Gestione del tempo: Imparano a pianificare e organizzare il lavoro in modo efficiente.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Adattabilità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Affrontare situazioni diverse nel laboratorio li aiuta a sviluppare flessibilità e adattabilità.</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Comunicative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Comunicazione orale e scritta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esprimere idee e risultati in modo chiaro e coerente.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Presentazioni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sviluppano abilità di presentazione per condividere i loro progetti o risultati con gli altri.</w:t>
            </w:r>
          </w:p>
        </w:tc>
        <w:tc>
          <w:tcPr>
            <w:tcW w:w="220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Utilizzo contestualizzato di conoscenze teoriche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Le conoscenze teoriche apprese in classe vengono applicate in modo pratico durante le attività di laboratorio. Ad esempio, gli studenti possono utilizzare principi di chimica per sintetizzare un composto o risolvere un problema di ingegneria.</w:t>
            </w:r>
          </w:p>
        </w:tc>
        <w:tc>
          <w:tcPr>
            <w:tcW w:w="3348"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Le</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attività di laboratorio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di prodotto e di processo coinvolgono diverse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ognuna con un ruolo specifico nel processo di apprendimento: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Scelta dei processi e della sequenza delle fasi: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In questa fase gli studenti selezionano i processi da eseguire e stabiliscono l’ordine in cui verranno eseguiti.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Fase preanalitica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Pianificazion</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 Gli studenti pianificano l’attività, definendo obiettivi, risorse necessarie e procedure da seguire.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Raccolta dei materiali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Si raccolgono gli strumenti, i materiali e le risorse necessarie per l’attività.</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Preparazione dell’ambiente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Si allestisce lo spazio di lavoro e si organizzano le postazioni.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Fase analitica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Esecuzione del processo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seguono le procedure pianificate per eseguire il processo o creare il prodotto. Questa fase coinvolge l’applicazione pratica delle conoscenze teoriche.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Misurazioni e osservazioni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l’esecuzione, gli studenti raccolgono dati, misurano risultati e osservano il processo in 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Fase postanalitica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Valutazione di processo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l’attività, gli insegnanti valutano l’impegno degli studenti, la collaborazione e l’efficacia delle procedure. Questa valutazione avviene in tempo reale.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Valutazione di prodotto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Alla fine dell’attività, gli studenti presentano il prodotto finito. La valutazione di prodotto considera la qualità, la precisione e l’adeguatezza del risultato finale.</w:t>
            </w:r>
          </w:p>
        </w:tc>
      </w:tr>
      <w:tr>
        <w:trPr/>
        <w:tc>
          <w:tcPr>
            <w:tcW w:w="1750" w:type="dxa"/>
            <w:tcBorders>
              <w:left w:val="single" w:sz="4" w:space="0" w:color="000000"/>
              <w:bottom w:val="single" w:sz="4" w:space="0" w:color="000000"/>
            </w:tcBorders>
            <w:shd w:fill="F2F5E8" w:val="clear"/>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Orientamento narrativo</w:t>
            </w:r>
          </w:p>
        </w:tc>
        <w:tc>
          <w:tcPr>
            <w:tcW w:w="2436"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Costruzione di identità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Utilizzando narrazioni e racconti, i soggetti sviluppano una comprensione più profonda di sé stessi e della propria storia di vita. Questo processo aiuta a definire l’identità personale.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Autonomia e empowerment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L’orientamento narrativo mira a sviluppare l’autonomia nei soggetti, consentendo loro di prendere decisioni consapevoli e di agire in modo proattivo.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riflessione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Attraverso la narrazione, i soggetti imparano a riflettere sulle proprie esperienze, valori e obiettivi. Questa capacità di auto-riflessione è essenziale per l’orientamento.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Pensiero narrativo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L’utilizzo delle narrazioni stimola il pensiero metaforico e la capacità di vedere le proprie esperienze da diverse prospettive. Questo favorisce la creatività e la flessibilità mentale.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Costruzione di sceneggiature future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immaginare e pianificare il proprio futuro, considerando diverse opzioni e possibili percorsi.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Condivisione di significat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 Le storie condivise con altri facilitano la comprensione reciproca e la costruzione di significati condivisi.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interpretative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L’analisi delle narrazioni sviluppa la capacità di interpretare situazioni complesse e di trarre conclusioni.</w:t>
            </w:r>
          </w:p>
        </w:tc>
        <w:tc>
          <w:tcPr>
            <w:tcW w:w="220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Paradigmi della pedagogia della narrazione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Uno studente può comprendere i principali paradigmi della pedagogia della narrazione in relazione alle rappresentazioni delle forme di diversità.</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Letteratura e narratologia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Acquisire familiarità con l’ambito letterario e narratologico, comprendendo la complessità dei significati nei testi narrativi e conoscendo il panorama dei generi letterari e narrativi.</w:t>
            </w:r>
          </w:p>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Analisi dell’immaginario e circolarità dei temi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Riconoscere le categorie d’analisi dell’immaginario e comprendere come i temi e le icone si intrecciano tra i linguaggi delle finzioni, come letteratura, cinema e teatro.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Valore della conoscenza delle storie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Comprendere il valore della conoscenza della storia e delle storie portate dall’utenza nella qualità relazionale e comunicativa.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Setting specifico del momento narrante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Conoscere le caratteristiche del contesto specifico in cui avviene la narrazione e i principali contributi teorici in ambito psicologico, pedagogico e antropologico.</w:t>
            </w:r>
          </w:p>
        </w:tc>
        <w:tc>
          <w:tcPr>
            <w:tcW w:w="3348"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L’orientamento narrativo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utilizza narrazioni e racconti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(come racconti orali, romanzi, film, audiovisivi, ecc.) come materiali per facilitare la costruzione dell’identità e lo sviluppo delle competenze nei soggetti, consentendo l’autorientamento. Questo approccio si basa sulla convinzione che ciascuno, se adeguatamente supportato, possa governare e gestire la propria esistenza, diventando autore e interprete del “romanzo” della propria vita</w:t>
            </w:r>
          </w:p>
        </w:tc>
      </w:tr>
      <w:tr>
        <w:trPr/>
        <w:tc>
          <w:tcPr>
            <w:tcW w:w="1750" w:type="dxa"/>
            <w:tcBorders>
              <w:left w:val="single" w:sz="4" w:space="0" w:color="000000"/>
              <w:bottom w:val="single" w:sz="4" w:space="0" w:color="000000"/>
            </w:tcBorders>
            <w:shd w:fill="F2F5E8" w:val="clear"/>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Spazio ascolto</w:t>
            </w:r>
          </w:p>
        </w:tc>
        <w:tc>
          <w:tcPr>
            <w:tcW w:w="2436"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Comunicazione efficace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esprimere i propri pensieri, emozioni e preoccupazioni in modo chiaro e rispettoso. Questa abilità è fondamentale per le relazioni interpersonali e per la risoluzione dei conflitti.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Empatia e comprensione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Interagendo con gli operatori dello Spazio Ascolto, gli studenti sviluppano la capacità di mettersi nei panni degli altri e comprendere le diverse prospettive. Questo favorisce la creazione di un ambiente scolastico più inclusivo.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Gestione delle emozioni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Lo Spazio Ascolto offre uno spazio sicuro per esplorare e affrontare le proprie emozioni. Gli studenti imparano a riconoscere e gestire lo stress, l’ansia e altre emozioni negative.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Problem solving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Affrontando le sfide personali, gli studenti imparano a cercare soluzioni e strategie per superarle. Questa abilità è utile non solo nella vita scolastica, ma anche nel futuro professionale.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Autonomia e responsabilità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Partecipando allo Spazio Ascolto, gli studenti imparano a prendersi cura di sé stessi e a chiedere aiuto quando necessario. Questo promuove l’autonomia e la responsabilità personale.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Consapevolezza di sé</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Riflettendo sulle proprie esperienze e sentimenti, gli studenti sviluppano una maggiore consapevolezza di sé stessi. Questo può aiutarli a prendere decisioni più consapevoli e a sviluppare una sana autostima.</w:t>
            </w:r>
          </w:p>
        </w:tc>
        <w:tc>
          <w:tcPr>
            <w:tcW w:w="220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Consapevolezza emotiva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riconoscere e comprendere le proprie emozioni. Questa consapevolezza è fondamentale per la gestione delle emozioni e per sviluppare relazioni sane.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Strategie di coping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Attraverso il supporto ricevuto nello Spazio Ascolto, gli studenti apprendono strategie per affrontare lo stress, l’ansia e altre difficoltà personali. Queste strategie possono essere utili per tutta la vita.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di risorse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operatori dello Spazio Ascolto forniscono informazioni sugli strumenti e le risorse disponibili per affrontare le difficoltà. Gli studenti imparano a cercare aiuto quando necessario.</w:t>
            </w:r>
          </w:p>
        </w:tc>
        <w:tc>
          <w:tcPr>
            <w:tcW w:w="3348"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Presidio psicologico che opera all’interno dell’ambiente scolastico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Esso mette a disposizione strumenti propri dell’area clinica e consente agli studenti di usufruirne nel loro spazio quotidiano di apprendimento. In altre parole, è uno spazio dedicato a supportare gli studenti che affrontano difficoltà emotive o personali, offrendo loro la possibilità di esprimere le proprie preoccupazioni e ricevere aiuto. Questo servizio è fondamentale per la salute mentale degli adolescenti, poiché si concentra sulla comprensione di sé e sul supporto durante una fase cruciale del loro sviluppo. È un luogo in cui gli studenti possono trovare ascolto, comprensione e sostegno per affrontare le sfide della vita scolastica e personale.</w:t>
            </w:r>
          </w:p>
        </w:tc>
      </w:tr>
      <w:tr>
        <w:trPr/>
        <w:tc>
          <w:tcPr>
            <w:tcW w:w="1750" w:type="dxa"/>
            <w:tcBorders>
              <w:left w:val="single" w:sz="4" w:space="0" w:color="000000"/>
              <w:bottom w:val="single" w:sz="4" w:space="0" w:color="000000"/>
            </w:tcBorders>
            <w:shd w:fill="F2F5E8" w:val="clear"/>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Progetto esperto in cattedra</w:t>
            </w:r>
          </w:p>
        </w:tc>
        <w:tc>
          <w:tcPr>
            <w:tcW w:w="2436"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tecniche specifiche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 seconda dell’indirizzo  di studi, gli studenti sviluppano competenze specifiche per il loro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Comunicazione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comunicare in modo efficace nel contesto lavorativo.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Gestione del tempo e organizzazione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pianificare il proprio lavoro, rispettare scadenze e gestire le risorse disponibili.</w:t>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Problem solving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Risolvere problemi pratici che possono sorgere nel contesto lavorativo. Questo include la capacità di adattarsi a situazioni impreviste.</w:t>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Collaborazione e teamwork</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Lavorare bene con i colleghi, ascoltare le loro opinioni e contribuire al raggiungimento degli obiettivi comuni.</w:t>
            </w:r>
          </w:p>
        </w:tc>
        <w:tc>
          <w:tcPr>
            <w:tcW w:w="220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Conoscenze tecniche specifiche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 seconda dell’indirizzo di studi, gli studenti sviluppano conoscenze specifiche per il loro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Etica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Comprendere i principi etici nel proprio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leggi e normative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Comprendere le regole e i regolamenti specifici del proprio settore. Ad esempio, le leggi sulla sicurezza sul lavoro o le normative fiscali.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3348"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Corsi e Workshop</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nei quali I professionisti del mondo del lavoro, che sono esperti in specifiche materie tecniche, possono condividere le loro conoscenze e competenze.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Mentorship e Coaching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Offrire mentorship o servizi di coaching personalizzati. Gli esperti possono guidare gli studenti nel loro percorso formativo, fornendo consigli pratici e supporto.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r>
      <w:tr>
        <w:trPr/>
        <w:tc>
          <w:tcPr>
            <w:tcW w:w="1750" w:type="dxa"/>
            <w:tcBorders>
              <w:left w:val="single" w:sz="4" w:space="0" w:color="000000"/>
              <w:bottom w:val="single" w:sz="4" w:space="0" w:color="000000"/>
            </w:tcBorders>
            <w:shd w:fill="F2F5E8" w:val="clear"/>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Laboratori di peer tutoring tra scuole secondarie di primo e secondo grado e classi superiori e classi inferiori nella scuola secondaria di secondo grado</w:t>
            </w:r>
          </w:p>
        </w:tc>
        <w:tc>
          <w:tcPr>
            <w:tcW w:w="2436"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Collaborazione tra pari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Nel peer tutoring, gli studenti si aiutano a vicenda nello studio e nella comprensione dei concetti. Questa collaborazione tra pari crea un ambiente di apprendimento positivo e stimolante.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Miglioramento delle abilità comunicative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Sia lo studente che agisce come tutore che lo studente che viene aiutato beneficiano del peer tutoring. Il tutore sviluppa le proprie abilità comunicative, imparando a spiegare concetti in modo chiaro e comprensibile, mentre lo studente che viene aiutato migliora la propria capacità di ascolto e comprensione.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Personalizzazione dell’apprendimento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Uno dei principali vantaggi del peer tutoring è che può essere personalizzato alle esigenze specifiche degli studenti. Il tutore può adattare il proprio metodo di insegnamento e i propri materiali alle necessità individuali dello studente che riceve l’aiuto.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Aumento della fiducia e della motivazione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Il peer tutoring può contribuire a migliorare la fiducia e la motivazione degli studenti. Lo studente che viene aiutato si sente sostenuto e incoraggiato nel suo percorso di apprendimento, mentre il tutore sviluppa un senso di responsabilità e gratificazione nel supportare gli altri.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Insegnamento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imparano a comunicare in modo efficace, adattando il proprio linguaggio e stile di insegnamento alle esigenze degli studenti. Questo sviluppa la loro capacità di spiegare concetti complessi in modo semplice e comprensibile.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Ascolto Attivo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devono ascoltare attentamente le domande e i dubbi degli studenti. Questo sviluppa la loro capacità di comprendere le esigenze specifiche e di rispondere in modo mirato.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Sociali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Il peer tutoring coinvolge interazioni sociali significative. I tutor sviluppano abilità di comunicazione, collaborazione e rispetto reciproco.</w:t>
            </w:r>
          </w:p>
        </w:tc>
        <w:tc>
          <w:tcPr>
            <w:tcW w:w="220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Contenuto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acquisiscono una comprensione approfondita dei concetti e dei materiali oggetto di studio specifiche per il loro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3348"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Il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peer tutoring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è un metodo di apprendimento collaborativo che coinvolge studenti di diverse età o livelli scolastici. In particolare, il peer tutoring cross-age prevede la collaborazione tra studenti di classi diverse. Ecco come si svolgono questi laboratori: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Selezione dei Tutor</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insegnanti individuano gli studenti tutor. Questi tutor più competenti assisteranno gli studenti della scuola secondaria di primo grado.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Formazione dei Tutor</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ricevono una formazione orientata alla cooperazione e al lavoro di gruppo.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Attività di Apprendimento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Tutor e tutee lavorano insieme per praticare una specifica abilità o materia. Ad esempio, possono studiare insieme, risolvere problemi o fare esercizi.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Supervisione degli Insegnanti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insegnanti svolgono un ruolo di supervisione. Monitorano il processo di peer tutoring e forniscono supporto ai tutor e ai tutee.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Valutazione e Riflessione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Alla fine delle sessioni di peer tutoring, gli studenti riflettono sull’esperienza e valutano i progressi fatti.</w:t>
            </w:r>
          </w:p>
        </w:tc>
      </w:tr>
      <w:tr>
        <w:trPr/>
        <w:tc>
          <w:tcPr>
            <w:tcW w:w="1750" w:type="dxa"/>
            <w:tcBorders>
              <w:left w:val="single" w:sz="4" w:space="0" w:color="000000"/>
              <w:bottom w:val="single" w:sz="4" w:space="0" w:color="000000"/>
            </w:tcBorders>
            <w:shd w:fill="F2F5E8" w:val="clear"/>
          </w:tcPr>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Style w:val="Strong"/>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La privacy: un diritto da difendere</w:t>
            </w:r>
          </w:p>
        </w:tc>
        <w:tc>
          <w:tcPr>
            <w:tcW w:w="2436" w:type="dxa"/>
            <w:tcBorders>
              <w:left w:val="single" w:sz="4" w:space="0" w:color="000000"/>
              <w:bottom w:val="single" w:sz="4" w:space="0" w:color="000000"/>
            </w:tcBorders>
          </w:tcPr>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bCs/>
                <w:i w:val="false"/>
                <w:caps w:val="false"/>
                <w:smallCaps w:val="false"/>
                <w:strike w:val="false"/>
                <w:dstrike w:val="false"/>
                <w:color w:val="000000"/>
                <w:position w:val="0"/>
                <w:sz w:val="24"/>
                <w:sz w:val="24"/>
                <w:szCs w:val="24"/>
                <w:u w:val="none"/>
                <w:shd w:fill="auto" w:val="clear"/>
                <w:vertAlign w:val="baseline"/>
              </w:rPr>
              <w:t>Competenze socio-relazionali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comunicare in modo efficace sulle tematiche della privacy</w:t>
            </w:r>
          </w:p>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lavorare in gruppo per affrontare problemi legati alla privacy</w:t>
            </w:r>
          </w:p>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riflettere criticamente sulle tematiche della privacy</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209" w:type="dxa"/>
            <w:tcBorders>
              <w:left w:val="single" w:sz="4" w:space="0" w:color="000000"/>
              <w:bottom w:val="single" w:sz="4" w:space="0" w:color="000000"/>
            </w:tcBorders>
          </w:tcPr>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Il concetto di privacy e la sua importanza: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arrivano a comprendere che la privacy è un diritto fondamentale dell'individuo, che consente a ognuno di vivere la propria vita senza interferenze.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 diversi aspetti della privacy: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arrivano a conoscere i diversi aspetti della privacy, come la privacy dei dati personali, la privacy delle comunicazioni, la privacy dell'immagine, ecc.</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 rischi della violazione della privacy: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acquisiscono consapevolezza dei rischi che possono derivare dalla violazione della privacy, come ad esempio l'identità digitale rubata, la discriminazione, il cyberbullismo, ecc.</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 modi per proteggere la propria privacy: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conoscono le misure che possono adottare per proteggere la propria privacy, sia nel mondo digitale che nella vita reale.</w:t>
            </w:r>
          </w:p>
        </w:tc>
        <w:tc>
          <w:tcPr>
            <w:tcW w:w="3348"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Lezioni partecipate</w:t>
            </w:r>
          </w:p>
        </w:tc>
      </w:tr>
      <w:tr>
        <w:trPr/>
        <w:tc>
          <w:tcPr>
            <w:tcW w:w="1750" w:type="dxa"/>
            <w:tcBorders>
              <w:left w:val="single" w:sz="4" w:space="0" w:color="000000"/>
              <w:bottom w:val="single" w:sz="4" w:space="0" w:color="000000"/>
            </w:tcBorders>
            <w:shd w:fill="F2F5E8" w:val="clear"/>
          </w:tcPr>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L’economia circolare</w:t>
            </w:r>
          </w:p>
        </w:tc>
        <w:tc>
          <w:tcPr>
            <w:tcW w:w="2436" w:type="dxa"/>
            <w:tcBorders>
              <w:left w:val="single" w:sz="4" w:space="0" w:color="000000"/>
              <w:bottom w:val="single" w:sz="4" w:space="0" w:color="000000"/>
            </w:tcBorders>
          </w:tcPr>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Consolidare i rapporti con il territorio</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Sviluppare competenze professionali</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Promuovere lo sviluppo armonico ed il benessere dello studente come persona</w:t>
            </w:r>
          </w:p>
        </w:tc>
        <w:tc>
          <w:tcPr>
            <w:tcW w:w="2209" w:type="dxa"/>
            <w:tcBorders>
              <w:left w:val="single" w:sz="4" w:space="0" w:color="000000"/>
              <w:bottom w:val="single" w:sz="4" w:space="0" w:color="000000"/>
            </w:tcBorders>
          </w:tcPr>
          <w:p>
            <w:pPr>
              <w:pStyle w:val="normal1"/>
              <w:widowControl w:val="false"/>
              <w:spacing w:lineRule="auto" w:line="240" w:before="0" w:after="0"/>
              <w:ind w:hanging="0" w:left="0" w:right="0"/>
              <w:jc w:val="left"/>
              <w:rPr>
                <w:rFonts w:ascii="Calibri" w:hAnsi="Calibri"/>
                <w:sz w:val="24"/>
                <w:szCs w:val="24"/>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Conoscere in modo più approfondito le tematiche del riciclo e della gestione dei rifiuti in generale, per consentire scelte consapevoli e responsabili e stimolare un percorso educativo tra pari, per incentivare la motivazione allo studio, per facilitare l’orientamento e una scelta più consapevole riguardo al percorso di studi da intraprendere.</w:t>
            </w:r>
          </w:p>
        </w:tc>
        <w:tc>
          <w:tcPr>
            <w:tcW w:w="3348"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sz w:val="24"/>
                <w:szCs w:val="24"/>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3-4 incontri formativi in aula di 2 ore circa sugli aspetti riguardanti il riciclo e le buone pratiche, seguite da una visita allo stabilimento.</w:t>
            </w:r>
          </w:p>
        </w:tc>
      </w:tr>
    </w:tbl>
    <w:p>
      <w:pPr>
        <w:pStyle w:val="normal1"/>
        <w:spacing w:lineRule="auto" w:line="240" w:before="0" w:after="0"/>
        <w:ind w:hanging="0" w:left="0" w:right="0"/>
        <w:jc w:val="both"/>
        <w:rPr>
          <w:rFonts w:ascii="Calibri" w:hAnsi="Calibri" w:eastAsia="Calibri" w:cs="Calibri"/>
          <w:sz w:val="24"/>
          <w:szCs w:val="24"/>
        </w:rPr>
      </w:pPr>
      <w:r>
        <w:rPr>
          <w:rFonts w:eastAsia="Calibri" w:cs="Calibri" w:ascii="Calibri" w:hAnsi="Calibri"/>
          <w:sz w:val="24"/>
          <w:szCs w:val="24"/>
        </w:rPr>
      </w:r>
    </w:p>
    <w:p>
      <w:pPr>
        <w:pStyle w:val="normal1"/>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3465A4"/>
          <w:position w:val="0"/>
          <w:sz w:val="32"/>
          <w:sz w:val="32"/>
          <w:szCs w:val="32"/>
          <w:u w:val="none"/>
          <w:shd w:fill="auto" w:val="clear"/>
          <w:vertAlign w:val="baseline"/>
        </w:rPr>
      </w:pPr>
      <w:r>
        <w:rPr>
          <w:rFonts w:eastAsia="Calibri" w:cs="Calibri" w:ascii="Calibri" w:hAnsi="Calibri"/>
          <w:b/>
          <w:i w:val="false"/>
          <w:caps w:val="false"/>
          <w:smallCaps w:val="false"/>
          <w:strike w:val="false"/>
          <w:dstrike w:val="false"/>
          <w:color w:val="3465A4"/>
          <w:position w:val="0"/>
          <w:sz w:val="32"/>
          <w:sz w:val="32"/>
          <w:szCs w:val="32"/>
          <w:u w:val="none"/>
          <w:shd w:fill="auto" w:val="clear"/>
          <w:vertAlign w:val="baseline"/>
        </w:rPr>
      </w:r>
    </w:p>
    <w:p>
      <w:pPr>
        <w:pStyle w:val="normal1"/>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3465A4"/>
          <w:position w:val="0"/>
          <w:sz w:val="32"/>
          <w:sz w:val="32"/>
          <w:szCs w:val="32"/>
          <w:u w:val="none"/>
          <w:shd w:fill="auto" w:val="clear"/>
          <w:vertAlign w:val="baseline"/>
        </w:rPr>
      </w:pPr>
      <w:r>
        <w:rPr>
          <w:rFonts w:eastAsia="Calibri" w:cs="Calibri" w:ascii="Calibri" w:hAnsi="Calibri"/>
          <w:b/>
          <w:i w:val="false"/>
          <w:caps w:val="false"/>
          <w:smallCaps w:val="false"/>
          <w:strike w:val="false"/>
          <w:dstrike w:val="false"/>
          <w:color w:val="3465A4"/>
          <w:position w:val="0"/>
          <w:sz w:val="32"/>
          <w:sz w:val="32"/>
          <w:szCs w:val="32"/>
          <w:u w:val="none"/>
          <w:shd w:fill="auto" w:val="clear"/>
          <w:vertAlign w:val="baseline"/>
        </w:rPr>
      </w:r>
    </w:p>
    <w:p>
      <w:pPr>
        <w:pStyle w:val="normal1"/>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3465A4"/>
          <w:position w:val="0"/>
          <w:sz w:val="32"/>
          <w:sz w:val="32"/>
          <w:szCs w:val="32"/>
          <w:u w:val="none"/>
          <w:shd w:fill="auto" w:val="clear"/>
          <w:vertAlign w:val="baseline"/>
        </w:rPr>
      </w:pPr>
      <w:r>
        <w:rPr>
          <w:rFonts w:eastAsia="Calibri" w:cs="Calibri" w:ascii="Calibri" w:hAnsi="Calibri"/>
          <w:b/>
          <w:i w:val="false"/>
          <w:caps w:val="false"/>
          <w:smallCaps w:val="false"/>
          <w:strike w:val="false"/>
          <w:dstrike w:val="false"/>
          <w:color w:val="3465A4"/>
          <w:position w:val="0"/>
          <w:sz w:val="32"/>
          <w:sz w:val="32"/>
          <w:szCs w:val="32"/>
          <w:u w:val="none"/>
          <w:shd w:fill="auto" w:val="clear"/>
          <w:vertAlign w:val="baseline"/>
        </w:rPr>
      </w:r>
    </w:p>
    <w:p>
      <w:pPr>
        <w:pStyle w:val="normal1"/>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3465A4"/>
          <w:position w:val="0"/>
          <w:sz w:val="32"/>
          <w:sz w:val="32"/>
          <w:szCs w:val="32"/>
          <w:u w:val="none"/>
          <w:shd w:fill="auto" w:val="clear"/>
          <w:vertAlign w:val="baseline"/>
        </w:rPr>
      </w:pPr>
      <w:r>
        <w:rPr>
          <w:rFonts w:eastAsia="Calibri" w:cs="Calibri" w:ascii="Calibri" w:hAnsi="Calibri"/>
          <w:b/>
          <w:i w:val="false"/>
          <w:caps w:val="false"/>
          <w:smallCaps w:val="false"/>
          <w:strike w:val="false"/>
          <w:dstrike w:val="false"/>
          <w:color w:val="3465A4"/>
          <w:position w:val="0"/>
          <w:sz w:val="32"/>
          <w:sz w:val="32"/>
          <w:szCs w:val="32"/>
          <w:u w:val="none"/>
          <w:shd w:fill="auto" w:val="clear"/>
          <w:vertAlign w:val="baseline"/>
        </w:rPr>
      </w:r>
    </w:p>
    <w:p>
      <w:pPr>
        <w:pStyle w:val="normal1"/>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3465A4"/>
          <w:position w:val="0"/>
          <w:sz w:val="32"/>
          <w:sz w:val="32"/>
          <w:szCs w:val="32"/>
          <w:u w:val="none"/>
          <w:shd w:fill="auto" w:val="clear"/>
          <w:vertAlign w:val="baseline"/>
        </w:rPr>
      </w:pPr>
      <w:r>
        <w:rPr>
          <w:rFonts w:eastAsia="Calibri" w:cs="Calibri" w:ascii="Calibri" w:hAnsi="Calibri"/>
          <w:b/>
          <w:i w:val="false"/>
          <w:caps w:val="false"/>
          <w:smallCaps w:val="false"/>
          <w:strike w:val="false"/>
          <w:dstrike w:val="false"/>
          <w:color w:val="3465A4"/>
          <w:position w:val="0"/>
          <w:sz w:val="32"/>
          <w:sz w:val="32"/>
          <w:szCs w:val="32"/>
          <w:u w:val="none"/>
          <w:shd w:fill="auto" w:val="clear"/>
          <w:vertAlign w:val="baseline"/>
        </w:rPr>
        <w:t>ATTIVITÀ PER LE CLASSI QUARTE</w:t>
      </w:r>
    </w:p>
    <w:p>
      <w:pPr>
        <w:pStyle w:val="normal1"/>
        <w:keepNext w:val="false"/>
        <w:keepLines w:val="false"/>
        <w:pageBreakBefore w:val="false"/>
        <w:widowControl/>
        <w:spacing w:lineRule="auto" w:line="240" w:before="0" w:after="0"/>
        <w:ind w:hanging="0" w:left="0"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bl>
      <w:tblPr>
        <w:tblW w:w="9744" w:type="dxa"/>
        <w:jc w:val="left"/>
        <w:tblInd w:w="108" w:type="dxa"/>
        <w:tblLayout w:type="fixed"/>
        <w:tblCellMar>
          <w:top w:w="0" w:type="dxa"/>
          <w:left w:w="108" w:type="dxa"/>
          <w:bottom w:w="0" w:type="dxa"/>
          <w:right w:w="108" w:type="dxa"/>
        </w:tblCellMar>
      </w:tblPr>
      <w:tblGrid>
        <w:gridCol w:w="2207"/>
        <w:gridCol w:w="2328"/>
        <w:gridCol w:w="1813"/>
        <w:gridCol w:w="3395"/>
      </w:tblGrid>
      <w:tr>
        <w:trPr/>
        <w:tc>
          <w:tcPr>
            <w:tcW w:w="2207" w:type="dxa"/>
            <w:vMerge w:val="restart"/>
            <w:tcBorders>
              <w:top w:val="single" w:sz="4" w:space="0" w:color="000000"/>
              <w:left w:val="single" w:sz="4" w:space="0" w:color="000000"/>
              <w:bottom w:val="single" w:sz="4" w:space="0" w:color="000000"/>
            </w:tcBorders>
            <w:shd w:fill="FFB66C" w:val="clear"/>
            <w:vAlign w:val="center"/>
          </w:tcPr>
          <w:p>
            <w:pPr>
              <w:pStyle w:val="normal1"/>
              <w:keepNext w:val="false"/>
              <w:keepLines w:val="false"/>
              <w:widowControl w:val="false"/>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Attività</w:t>
            </w:r>
          </w:p>
        </w:tc>
        <w:tc>
          <w:tcPr>
            <w:tcW w:w="4141" w:type="dxa"/>
            <w:gridSpan w:val="2"/>
            <w:tcBorders>
              <w:top w:val="single" w:sz="4" w:space="0" w:color="000000"/>
              <w:left w:val="single" w:sz="4" w:space="0" w:color="000000"/>
              <w:bottom w:val="single" w:sz="4" w:space="0" w:color="000000"/>
            </w:tcBorders>
            <w:shd w:fill="FFB66C" w:val="clear"/>
            <w:vAlign w:val="center"/>
          </w:tcPr>
          <w:p>
            <w:pPr>
              <w:pStyle w:val="normal1"/>
              <w:widowControl w:val="false"/>
              <w:spacing w:lineRule="auto" w:line="240" w:before="0" w:after="0"/>
              <w:ind w:left="0" w:right="0"/>
              <w:jc w:val="center"/>
              <w:rPr>
                <w:rFonts w:ascii="Calibri" w:hAnsi="Calibri" w:eastAsia="Calibri" w:cs="Calibri"/>
                <w:b/>
              </w:rPr>
            </w:pPr>
            <w:r>
              <w:rPr>
                <w:rFonts w:eastAsia="Calibri" w:cs="Calibri" w:ascii="Calibri" w:hAnsi="Calibri"/>
                <w:b/>
              </w:rPr>
              <w:t>Obiettivi formativi</w:t>
            </w:r>
          </w:p>
        </w:tc>
        <w:tc>
          <w:tcPr>
            <w:tcW w:w="3395" w:type="dxa"/>
            <w:vMerge w:val="restart"/>
            <w:tcBorders>
              <w:top w:val="single" w:sz="4" w:space="0" w:color="000000"/>
              <w:left w:val="single" w:sz="4" w:space="0" w:color="000000"/>
              <w:bottom w:val="single" w:sz="4" w:space="0" w:color="000000"/>
              <w:right w:val="single" w:sz="4" w:space="0" w:color="000000"/>
            </w:tcBorders>
            <w:shd w:fill="FFB66C" w:val="clear"/>
            <w:vAlign w:val="center"/>
          </w:tcPr>
          <w:p>
            <w:pPr>
              <w:pStyle w:val="normal1"/>
              <w:keepNext w:val="false"/>
              <w:keepLines w:val="false"/>
              <w:widowControl w:val="false"/>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Pratiche corrispondenti</w:t>
            </w:r>
          </w:p>
        </w:tc>
      </w:tr>
      <w:tr>
        <w:trPr/>
        <w:tc>
          <w:tcPr>
            <w:tcW w:w="2207" w:type="dxa"/>
            <w:vMerge w:val="continue"/>
            <w:tcBorders>
              <w:left w:val="single" w:sz="4" w:space="0" w:color="000000"/>
              <w:bottom w:val="single" w:sz="4" w:space="0" w:color="000000"/>
            </w:tcBorders>
            <w:shd w:fill="FFB66C" w:val="clear"/>
            <w:vAlign w:val="center"/>
          </w:tcPr>
          <w:p>
            <w:pPr>
              <w:pStyle w:val="Normal"/>
              <w:rPr/>
            </w:pPr>
            <w:r>
              <w:rPr/>
            </w:r>
          </w:p>
        </w:tc>
        <w:tc>
          <w:tcPr>
            <w:tcW w:w="2328" w:type="dxa"/>
            <w:tcBorders>
              <w:left w:val="single" w:sz="4" w:space="0" w:color="000000"/>
              <w:bottom w:val="single" w:sz="4" w:space="0" w:color="000000"/>
            </w:tcBorders>
            <w:shd w:fill="FFDBB6" w:val="clear"/>
            <w:vAlign w:val="center"/>
          </w:tcPr>
          <w:p>
            <w:pPr>
              <w:pStyle w:val="normal1"/>
              <w:keepNext w:val="false"/>
              <w:keepLines w:val="false"/>
              <w:widowControl w:val="false"/>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Abilità/Competenze</w:t>
            </w:r>
          </w:p>
        </w:tc>
        <w:tc>
          <w:tcPr>
            <w:tcW w:w="1813" w:type="dxa"/>
            <w:tcBorders>
              <w:left w:val="single" w:sz="4" w:space="0" w:color="000000"/>
              <w:bottom w:val="single" w:sz="4" w:space="0" w:color="000000"/>
            </w:tcBorders>
            <w:shd w:fill="FFDBB6" w:val="clear"/>
            <w:vAlign w:val="center"/>
          </w:tcPr>
          <w:p>
            <w:pPr>
              <w:pStyle w:val="normal1"/>
              <w:keepNext w:val="false"/>
              <w:keepLines w:val="false"/>
              <w:widowControl w:val="false"/>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Conoscenze</w:t>
            </w:r>
          </w:p>
        </w:tc>
        <w:tc>
          <w:tcPr>
            <w:tcW w:w="3395" w:type="dxa"/>
            <w:vMerge w:val="continue"/>
            <w:tcBorders>
              <w:left w:val="single" w:sz="4" w:space="0" w:color="000000"/>
              <w:bottom w:val="single" w:sz="4" w:space="0" w:color="000000"/>
              <w:right w:val="single" w:sz="4" w:space="0" w:color="000000"/>
            </w:tcBorders>
            <w:shd w:fill="FFB66C" w:val="clear"/>
            <w:vAlign w:val="center"/>
          </w:tcPr>
          <w:p>
            <w:pPr>
              <w:pStyle w:val="Normal"/>
              <w:rPr/>
            </w:pPr>
            <w:r>
              <w:rPr/>
            </w:r>
          </w:p>
        </w:tc>
      </w:tr>
      <w:tr>
        <w:trPr/>
        <w:tc>
          <w:tcPr>
            <w:tcW w:w="2207" w:type="dxa"/>
            <w:tcBorders>
              <w:left w:val="single" w:sz="4" w:space="0" w:color="000000"/>
              <w:bottom w:val="single" w:sz="4" w:space="0" w:color="000000"/>
            </w:tcBorders>
            <w:shd w:fill="FFF5CE" w:val="clear"/>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Orientamento attivo nella transizione scuola-università organizzati dalle università – Corsi della durata di 15 ore a cura dell’</w:t>
            </w:r>
            <w:hyperlink r:id="rId27">
              <w:r>
                <w:rPr>
                  <w:rStyle w:val="Style7"/>
                  <w:rFonts w:eastAsia="Calibri" w:cs="Calibri" w:ascii="Calibri" w:hAnsi="Calibri"/>
                  <w:b/>
                  <w:i w:val="false"/>
                  <w:caps w:val="false"/>
                  <w:smallCaps w:val="false"/>
                  <w:strike w:val="false"/>
                  <w:dstrike w:val="false"/>
                  <w:color w:val="000080"/>
                  <w:position w:val="0"/>
                  <w:sz w:val="24"/>
                  <w:sz w:val="24"/>
                  <w:szCs w:val="24"/>
                  <w:u w:val="single"/>
                  <w:shd w:fill="auto" w:val="clear"/>
                  <w:vertAlign w:val="baseline"/>
                </w:rPr>
                <w:t>Università di Padova</w:t>
              </w:r>
            </w:hyperlink>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e dell’</w:t>
            </w:r>
            <w:hyperlink r:id="rId28">
              <w:r>
                <w:rPr>
                  <w:rStyle w:val="Style7"/>
                  <w:rFonts w:eastAsia="Calibri" w:cs="Calibri" w:ascii="Calibri" w:hAnsi="Calibri"/>
                  <w:b/>
                  <w:i w:val="false"/>
                  <w:caps w:val="false"/>
                  <w:smallCaps w:val="false"/>
                  <w:strike w:val="false"/>
                  <w:dstrike w:val="false"/>
                  <w:color w:val="000080"/>
                  <w:position w:val="0"/>
                  <w:sz w:val="24"/>
                  <w:sz w:val="24"/>
                  <w:szCs w:val="24"/>
                  <w:u w:val="single"/>
                  <w:shd w:fill="auto" w:val="clear"/>
                  <w:vertAlign w:val="baseline"/>
                </w:rPr>
                <w:t>Università Ca’ Foscari di Venezia</w:t>
              </w:r>
            </w:hyperlink>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w:t>
            </w:r>
          </w:p>
        </w:tc>
        <w:tc>
          <w:tcPr>
            <w:tcW w:w="232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Autoconsapevolezza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conoscere le proprie inclinazioni, interessi e punti di forza. Questo li aiuta a fare scelte informate riguardo ai percorsi di studio universitari o alle carriere professionali.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Orientamento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acquisiscono una comprensione delle diverse opzioni di carriera e dei requisiti per ciascuna. Imparano a valutare le opportunità di lavoro e a individuare le professioni che meglio si adattano alle loro aspirazioni.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ricerca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cercare informazioni sulle università, i corsi di laurea, le opportunità di studio e le prospettive di carriera. Questa abilità è essenziale per prendere decisioni informate.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comunicazione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comunicare efficacemente con i consulenti universitari, i docenti e gli esperti del settore. Questo include la scrittura di e-mail, la partecipazione a sessioni informative e la partecipazione a eventi di orientamento.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Pianificazione e gestione del tempo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pianificare il loro percorso di studio, a gestire gli impegni accademici e a bilanciare studio, lavoro e vita personale.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adattamento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 transizione scuola-università può essere complessa. Gli studenti imparano a gestire il cambiamento, a superare le sfide e a sviluppare una mentalità aperta.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networking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connettersi con altri studenti, docenti e professionisti del settore. Questo può aiutarli a creare opportunità di stage, tirocini e collaborazioni future.</w:t>
            </w:r>
          </w:p>
        </w:tc>
        <w:tc>
          <w:tcPr>
            <w:tcW w:w="1813"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sistema universitario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comprendere come funzionano le università, i diversi dipartimenti, le strutture accademiche e le risorse disponibili. Questo include informazioni sulle modalità di iscrizione, i requisiti di ammissione e i programmi di studio offerti.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Informazioni sui corsi di laurea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esplorano i vari corsi di laurea disponibili, compresi i contenuti dei corsi, le specializzazioni e le opportunità di studio. Questo aiuta gli studenti a fare scelte informate sulla loro futura carriera accademica.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Comprensione delle opportunità di carriera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l’orientamento, gli studenti apprendono quali sono le prospettive di carriera associate a determinati percorsi di studio. Questo include informazioni sulle professioni correlate a ciascun corso di laurea e le competenze richieste per avere successo in quei campi.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risorse di supporto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vengono informati sulle risorse di supporto disponibili all’interno dell’università, come i servizi di tutorato, i centri di consulenza, le biblioteche e i laboratori. Queste risorse possono aiutarli a superare eventuali difficoltà accademiche.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Comprensione delle aspettative accademiche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apprendono cosa ci si aspetta da loro in termini di partecipazione alle lezioni, studio individuale, esami e valutazioni. Questo li aiuta a prepararsi adeguatamente per l’ambiente universitario.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Sensibilizzazione alla diversità e all’inclusione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l’orientamento, gli studenti possono partecipare a sessioni che promuovono la consapevolezza della diversità culturale, sociale ed etnica. Questo li aiuta a sviluppare una mentalità aperta e rispettosa verso gli altri.</w:t>
            </w:r>
          </w:p>
        </w:tc>
        <w:tc>
          <w:tcPr>
            <w:tcW w:w="3395"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 corsi di 15 ore sono composti da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moduli tematici differenti.</w:t>
            </w:r>
          </w:p>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Ciascun corso comprende uno o più moduli di carattere trasversale (con focus su temi quali: funzionamento mondo universitario, opportunità di formazione post diploma, bilancio di competenze, processo di scelta e di decision making, conoscenza di sé, autovalutazione, consapevolezza delle scelte, riflessioni su obiettivi e su prospettive future, sviluppo di competenze trasversali specifiche, aspetti comunicativi, narrativi, lavoro di gruppo e problem solving, aspetti emotivi e psicologici legati all'orientamento, mondo del lavoro e delle professioni), e moduli di carattere disciplinare, che hanno l’obiettivo di proporre agli alunni e alle alunne un’esperienza didattica disciplinare attiva, partecipativa e laboratoriale. Tali moduli introducono le diverse discipline evidenziando la loro eventuale correlazione con tematiche attuali e di interesse generale, menzionando contesti applicativi non immediati o focalizzando l’attenzione verso professioni e sbocchi occupazionali nuovi o poco noti.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La maggioranza dei corsi, prevede un modulo conclusivo erogato on line, dedicato allo sviluppo delle soft skills.</w:t>
            </w:r>
          </w:p>
        </w:tc>
      </w:tr>
      <w:tr>
        <w:trPr/>
        <w:tc>
          <w:tcPr>
            <w:tcW w:w="2207" w:type="dxa"/>
            <w:tcBorders>
              <w:left w:val="single" w:sz="4" w:space="0" w:color="000000"/>
              <w:bottom w:val="single" w:sz="4" w:space="0" w:color="000000"/>
            </w:tcBorders>
            <w:shd w:fill="FFF5CE"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Incontri orientativi con</w:t>
            </w:r>
          </w:p>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le ITS Accademy</w:t>
            </w:r>
          </w:p>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232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comunicative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Dominio dei diversi linguaggi, verbali e non, quotidiani, disciplinari e logici.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cognitive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comprendere ed elaborare il pensiero astratto e di acquisire un buon metodo di apprendimento.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e strategie metacognitive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Consapevolezza, monitoraggio, autovalutazione, predizione e progettazione.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e strategie metaemozionali o psico-sociali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Autoconsapevolezza, autocontrollo, motivazione, empatia e competenze sociali.</w:t>
            </w:r>
          </w:p>
        </w:tc>
        <w:tc>
          <w:tcPr>
            <w:tcW w:w="1813"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Conoscenza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dei seguenti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aspetti chiave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riguardanti gli</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ITS </w:t>
            </w:r>
            <w:r>
              <w:rPr>
                <w:rFonts w:eastAsia="Calibri" w:cs="Calibri" w:ascii="Calibri" w:hAnsi="Calibri"/>
                <w:b/>
              </w:rPr>
              <w:t>Academy:</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Formazione Tecnica Avanzata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offrono corsi gratuiti della durata di due anni, fornendo una formazione tecnica altamente qualificata. Sono una valida alternativa all’università per coloro che desiderano specializzarsi in ambiti tecnologici.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Titolo di Tecnico Superiore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Al termine del percorso, gli studenti conseguono il titolo di tecnico superiore, che è riconosciuto a livello nazionale.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Connessione con l’Industria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sono espressione di una strategia che mira a collegare le competenze tecniche con le esigenze del mondo del lavoro e dell’industria.</w:t>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Decreti Attuativi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 legge n. 99/2022 ha istituito il Sistema terziario di istruzione tecnologica superiore, e gli ITS sono parte integrante di questo sistema.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Focus su Settori Specifici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si specializzano in settori specifici, come l’automazione industriale, l’informatica, la meccatronica, l’energia rinnovabile e altro ancora. Questo consente agli studenti di concentrarsi su aree di interesse specifiche.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Stage e Opportunità di Lavoro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il percorso di studio, gli studenti hanno l’opportunità di svolgere stage presso aziende partner. Questo favorisce l’inserimento nel mondo del lavoro una volta completato il corso.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Networking e Crescita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offrono un ambiente di networking, consentendo agli studenti di connettersi con professionisti del settore e partecipare a eventi e conferenze.</w:t>
            </w:r>
          </w:p>
        </w:tc>
        <w:tc>
          <w:tcPr>
            <w:tcW w:w="3395"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Panoramica sugli ITS </w:t>
            </w:r>
            <w:r>
              <w:rPr>
                <w:rFonts w:eastAsia="Calibri" w:cs="Calibri" w:ascii="Calibri" w:hAnsi="Calibri"/>
                <w:b/>
              </w:rPr>
              <w:t>Academy:</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Cosa sono gli ITS e come si differenziano da altre istituzioni di formazione.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Ruolo degli ITS nel collegamento tra istruzione, industria e lavoro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Esempi di settori tecnologici coperti dagli ITS</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Focus su Settori Specifici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Presentazione dei principali settori di specializzazione dell’ITS (ad esempio: automazione industriale, informatica, energia rinnovabile).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Sessione di Domande e Risposte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Gli studenti possono porre domande agli esperti ITS.</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Feedback e Conclusioni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Raccolta di feedback dagli studenti.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Invito a visitare l’ITS per ulteriori informazioni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tc>
      </w:tr>
      <w:tr>
        <w:trPr/>
        <w:tc>
          <w:tcPr>
            <w:tcW w:w="2207" w:type="dxa"/>
            <w:tcBorders>
              <w:left w:val="single" w:sz="4" w:space="0" w:color="000000"/>
              <w:bottom w:val="single" w:sz="4" w:space="0" w:color="000000"/>
            </w:tcBorders>
            <w:shd w:fill="FFF5CE"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Visite guidate orientative</w:t>
            </w:r>
          </w:p>
        </w:tc>
        <w:tc>
          <w:tcPr>
            <w:tcW w:w="232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Lavoro di gruppo costruttivo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le visite guidate, gli studenti collaborano con i loro compagni di classe e imparano a lavorare insieme in modo produttivo.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Empatia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Interagendo con guide, compagni di classe e luoghi visitati, gli studenti sviluppano la capacità di comprendere e rispettare le prospettive altrui.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Gestione del tempo e delle informazioni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Le visite guidate richiedono pianificazione e organizzazione. Gli studenti imparano a gestire il proprio tempo e a selezionare le informazioni rilevanti.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narrative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Queste competenze riguardano la capacità di assumere il controllo sulla propria esistenza attraverso il linguaggio. Includono la capacità di individuare collegamenti, relazioni e di comunicare in modo efficace.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chiave di cittadinanza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Queste competenze includono imparare a imparare, progettare, comunicare, collaborare, agire in modo autonomo e responsabile, risolvere problemi, individuare collegamenti e relazioni, e acquisire ed interpretare l'informazione.</w:t>
            </w:r>
          </w:p>
        </w:tc>
        <w:tc>
          <w:tcPr>
            <w:tcW w:w="1813"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contesto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la visita, gli studenti possono apprendere informazioni specifiche sul luogo o sull’istituzione visitata. Questo include la storia, la missione, le risorse disponibili e le opportunità offerte.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3395"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Presentazione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Introduzione all’esposizione o al luogo che verrà visitato. Spiegazione del contesto e dell’importanza dei contenuti.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Approccio didattico e divulgativo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 visita guidata può essere sia un momento di didattica (insegnamento) che di divulgazione (spiegazione). L’obiettivo è rendere il messaggio comprensibile, adattandolo alle conoscenze e alle competenze degli studenti.</w:t>
            </w:r>
          </w:p>
        </w:tc>
      </w:tr>
      <w:tr>
        <w:trPr/>
        <w:tc>
          <w:tcPr>
            <w:tcW w:w="2207" w:type="dxa"/>
            <w:tcBorders>
              <w:left w:val="single" w:sz="4" w:space="0" w:color="000000"/>
              <w:bottom w:val="single" w:sz="4" w:space="0" w:color="000000"/>
            </w:tcBorders>
            <w:shd w:fill="FFF5CE"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Attività di laboratorio di prodotto o di processo</w:t>
            </w:r>
          </w:p>
        </w:tc>
        <w:tc>
          <w:tcPr>
            <w:tcW w:w="232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Tecniche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Padronanza delle procedure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seguire procedure specifiche per creare o elaborare prodotti o processi.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Utilizzo di strumenti e attrezzature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utilizzare attrezzature, strumenti e materiali specifici per il laboratorio.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Risoluzione di problemi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sviluppano la capacità di affrontare e risolvere problemi tecnici o pratici.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Analisi e valutazione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valutare i risultati ottenuti e a identificare possibili miglioramenti.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Cognitive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Pensiero critico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valutare informazioni, prendere decisioni e risolvere problemi in modo critico.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Apprendimento attivo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L’esperienza pratica nel laboratorio favorisce l’apprendimento attivo e la comprensione dei concetti teorici.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ricerca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cercare informazioni, analizzare dati e trarre conclusioni basate su prove.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Sociali ed Emotive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Collaborazione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Lavorare in gruppo nel laboratorio sviluppa abilità di collaborazione e comunicazione.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Gestione del tempo: Imparano a pianificare e organizzare il lavoro in modo efficiente.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Adattabilità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Affrontare situazioni diverse nel laboratorio li aiuta a sviluppare flessibilità e adattabilità.</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Comunicative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Comunicazione orale e scritta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esprimere idee e risultati in modo chiaro e coerente.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Presentazioni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sviluppano abilità di presentazione per condividere i loro progetti o risultati con gli altri.</w:t>
            </w:r>
          </w:p>
        </w:tc>
        <w:tc>
          <w:tcPr>
            <w:tcW w:w="1813"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Utilizzo contestualizzato di conoscenze teoriche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Le conoscenze teoriche apprese in classe vengono applicate in modo pratico durante le attività di laboratorio. Ad esempio, gli studenti possono utilizzare principi di chimica per sintetizzare un composto o risolvere un problema di ingegneria.</w:t>
            </w:r>
          </w:p>
        </w:tc>
        <w:tc>
          <w:tcPr>
            <w:tcW w:w="3395"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Le</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attività di laboratorio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di prodotto e di processo coinvolgono diverse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ognuna con un ruolo specifico nel processo di apprendimento: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Scelta dei processi e della sequenza delle fasi: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In questa fase gli studenti selezionano i processi da eseguire e stabiliscono l’ordine in cui verranno eseguiti.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Fase preanalitica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Pianificazion</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 Gli studenti pianificano l’attività, definendo obiettivi, risorse necessarie e procedure da seguire.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Raccolta dei materiali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Si raccolgono gli strumenti, i materiali e le risorse necessarie per l’attività.</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Preparazione dell’ambiente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Si allestisce lo spazio di lavoro e si organizzano le postazioni.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Fase analitica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Esecuzione del processo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seguono le procedure pianificate per eseguire il processo o creare il prodotto. Questa fase coinvolge l’applicazione pratica delle conoscenze teoriche.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Misurazioni e osservazioni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l’esecuzione, gli studenti raccolgono dati, misurano risultati e osservano il processo in 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Fase postanalitica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Valutazione di processo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l’attività, gli insegnanti valutano l’impegno degli studenti, la collaborazione e l’efficacia delle procedure. Questa valutazione avviene in tempo reale.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Valutazione di prodotto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Alla fine dell’attività, gli studenti presentano il prodotto finito. La valutazione di prodotto considera la qualità, la precisione e l’adeguatezza del risultato finale.</w:t>
            </w:r>
          </w:p>
        </w:tc>
      </w:tr>
      <w:tr>
        <w:trPr/>
        <w:tc>
          <w:tcPr>
            <w:tcW w:w="2207" w:type="dxa"/>
            <w:tcBorders>
              <w:left w:val="single" w:sz="4" w:space="0" w:color="000000"/>
              <w:bottom w:val="single" w:sz="4" w:space="0" w:color="000000"/>
            </w:tcBorders>
            <w:shd w:fill="FFF5CE"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Orientamento narrativo</w:t>
            </w:r>
          </w:p>
        </w:tc>
        <w:tc>
          <w:tcPr>
            <w:tcW w:w="232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Costruzione di identità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utilizzando narrazioni e racconti, i soggetti sviluppano una comprensione più profonda di sé stessi e della propria storia di vita. Questo processo aiuta a definire l’identità personale.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Autonomia e empowerment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L’orientamento narrativo mira a sviluppare l’autonomia nei soggetti, consentendo loro di prendere decisioni consapevoli e di agire in modo proattivo.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riflessione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Attraverso la narrazione, gli studenti imparano a riflettere sulle proprie esperienze, valori e obiettivi. Questa capacità di auto-riflessione è essenziale per l’orientamento.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Pensiero narrativo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L’utilizzo delle narrazioni stimola il pensiero metaforico e la capacità di vedere le proprie esperienze da diverse prospettive. Questo favorisce la creatività e la flessibilità mentale.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Costruzione di sceneggiature future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immaginare e pianificare il proprio futuro, considerando diverse opzioni e possibili percorsi.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Condivisione di significat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 Le storie condivise con altri facilitano la comprensione reciproca e la costruzione di significati condivisi.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interpretative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L’analisi delle narrazioni sviluppa la capacità di interpretare situazioni complesse e di trarre conclusioni.</w:t>
            </w:r>
          </w:p>
        </w:tc>
        <w:tc>
          <w:tcPr>
            <w:tcW w:w="1813"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Paradigmi della pedagogia della narrazione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Uno studente può comprendere i principali paradigmi della pedagogia della narrazione in relazione alle rappresentazioni delle forme di diversità.</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Letteratura e narratologia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Acquisire familiarità con l’ambito letterario e narratologico, comprendendo la complessità dei significati nei testi narrativi e conoscendo il panorama dei generi letterari e narrativi.</w:t>
            </w:r>
          </w:p>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Analisi dell’immaginario e circolarità dei temi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Riconoscere le categorie d’analisi dell’immaginario e comprendere come i temi e le icone si intrecciano tra i linguaggi delle finzioni, come letteratura, cinema e teatro.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Valore della conoscenza delle storie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Comprendere il valore della conoscenza della storia e delle storie portate dall’utenza nella qualità relazionale e comunicativa.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Setting specifico del momento narrante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Conoscere le caratteristiche del contesto specifico in cui avviene la narrazione e i principali contributi teorici in ambito psicologico, pedagogico e antropologico.</w:t>
            </w:r>
          </w:p>
        </w:tc>
        <w:tc>
          <w:tcPr>
            <w:tcW w:w="3395"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L’orientamento narrativo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utilizza narrazioni e racconti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(come racconti orali, romanzi, film, audiovisivi, ecc.) come materiali per facilitare la costruzione dell’identità e lo sviluppo delle competenze nei soggetti, consentendo l’autorientamento. Questo approccio si basa sulla convinzione che ciascuno, se adeguatamente supportato, possa governare e gestire la propria esistenza, diventando autore e interprete del “romanzo” della propria vita</w:t>
            </w:r>
          </w:p>
        </w:tc>
      </w:tr>
      <w:tr>
        <w:trPr/>
        <w:tc>
          <w:tcPr>
            <w:tcW w:w="2207" w:type="dxa"/>
            <w:tcBorders>
              <w:left w:val="single" w:sz="4" w:space="0" w:color="000000"/>
              <w:bottom w:val="single" w:sz="4" w:space="0" w:color="000000"/>
            </w:tcBorders>
            <w:shd w:fill="FFF5CE"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Spazio ascolto</w:t>
            </w:r>
          </w:p>
        </w:tc>
        <w:tc>
          <w:tcPr>
            <w:tcW w:w="232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Comunicazione efficace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esprimere i propri pensieri, emozioni e preoccupazioni in modo chiaro e rispettoso. Questa abilità è fondamentale per le relazioni interpersonali e per la risoluzione dei conflitti.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Empatia e comprensione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Interagendo con gli operatori dello Spazio Ascolto, gli studenti sviluppano la capacità di mettersi nei panni degli altri e comprendere le diverse prospettive. Questo favorisce la creazione di un ambiente scolastico più inclusivo.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Gestione delle emozioni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Lo Spazio Ascolto offre uno spazio sicuro per esplorare e affrontare le proprie emozioni. Gli studenti imparano a riconoscere e gestire lo stress, l’ansia e altre emozioni negative.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Problem solving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Affrontando le sfide personali, gli studenti imparano a cercare soluzioni e strategie per superarle. Questa abilità è utile non solo nella vita scolastica, ma anche nel futuro professionale.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Autonomia e responsabilità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Partecipando allo Spazio Ascolto, gli studenti imparano a prendersi cura di sé stessi e a chiedere aiuto quando necessario. Questo promuove l’autonomia e la responsabilità personale.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Consapevolezza di sé</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Riflettendo sulle proprie esperienze e sentimenti, gli studenti sviluppano una maggiore consapevolezza di sé stessi. Questo può aiutarli a prendere decisioni più consapevoli e a sviluppare una sana autostima.</w:t>
            </w:r>
          </w:p>
        </w:tc>
        <w:tc>
          <w:tcPr>
            <w:tcW w:w="1813"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Consapevolezza emotiva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riconoscere e comprendere le proprie emozioni. Questa consapevolezza è fondamentale per la gestione delle emozioni e per sviluppare relazioni sane.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Strategie di coping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Attraverso il supporto ricevuto nello Spazio Ascolto, gli studenti apprendono strategie per affrontare lo stress, l’ansia e altre difficoltà personali. Queste strategie possono essere utili per tutta la vita.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di risorse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operatori dello Spazio Ascolto forniscono informazioni sugli strumenti e le risorse disponibili per affrontare le difficoltà. Gli studenti imparano a cercare aiuto quando necessario.</w:t>
            </w:r>
          </w:p>
        </w:tc>
        <w:tc>
          <w:tcPr>
            <w:tcW w:w="3395"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Presidio psicologico che opera all’interno dell’ambiente scolastico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Esso mette a disposizione strumenti propri dell’area clinica e consente agli studenti di usufruirne nel loro spazio quotidiano di apprendimento. In altre parole, è uno spazio dedicato a supportare gli studenti che affrontano difficoltà emotive o personali, offrendo loro la possibilità di esprimere le proprie preoccupazioni e ricevere aiuto. Questo servizio è fondamentale per la salute mentale degli adolescenti, poiché si concentra sulla comprensione di sé e sul supporto durante una fase cruciale del loro sviluppo. È un luogo in cui gli studenti possono trovare ascolto, comprensione e sostegno per affrontare le sfide della vita scolastica e personale.</w:t>
            </w:r>
          </w:p>
        </w:tc>
      </w:tr>
      <w:tr>
        <w:trPr/>
        <w:tc>
          <w:tcPr>
            <w:tcW w:w="2207" w:type="dxa"/>
            <w:tcBorders>
              <w:left w:val="single" w:sz="4" w:space="0" w:color="000000"/>
              <w:bottom w:val="single" w:sz="4" w:space="0" w:color="000000"/>
            </w:tcBorders>
            <w:shd w:fill="FFF5CE"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Progetto esperto in cattedra</w:t>
            </w:r>
          </w:p>
        </w:tc>
        <w:tc>
          <w:tcPr>
            <w:tcW w:w="232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tecniche specifiche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 seconda dell’indirizzo  di studi, gli studenti sviluppano competenze specifiche per il loro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Comunicazione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comunicare in modo efficace nel contesto lavorativo.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Gestione del tempo e organizzazione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pianificare il proprio lavoro, rispettare scadenze e gestire le risorse disponibili.</w:t>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Problem solving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Risolvere problemi pratici che possono sorgere nel contesto lavorativo. Questo include la capacità di adattarsi a situazioni impreviste.</w:t>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Collaborazione e teamwork</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Lavorare bene con i colleghi, ascoltare le loro opinioni e contribuire al raggiungimento degli obiettivi comuni.</w:t>
            </w:r>
          </w:p>
        </w:tc>
        <w:tc>
          <w:tcPr>
            <w:tcW w:w="1813"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Conoscenze tecniche specifiche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 seconda dell’indirizzo di studi, gli studenti sviluppano conoscenze specifiche per il loro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Etica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Comprendere i principi etici nel proprio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leggi e normative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Comprendere le regole e i regolamenti specifici del proprio settore. Ad esempio, le leggi sulla sicurezza sul lavoro o le normative fiscali.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3395"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Corsi e Workshop</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nei quali I professionisti del mondo del lavoro, che sono esperti in specifiche materie tecniche, possono condividere le loro conoscenze e competenze.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Mentorship e Coaching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Offrire mentorship o servizi di coaching personalizzati. Gli esperti possono guidare gli studenti nel loro percorso formativo, fornendo consigli pratici e supporto.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r>
      <w:tr>
        <w:trPr/>
        <w:tc>
          <w:tcPr>
            <w:tcW w:w="2207" w:type="dxa"/>
            <w:tcBorders>
              <w:left w:val="single" w:sz="4" w:space="0" w:color="000000"/>
              <w:bottom w:val="single" w:sz="4" w:space="0" w:color="000000"/>
            </w:tcBorders>
            <w:shd w:fill="FFF5CE"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Laboratori di peer tutoring tra scuole secondarie di primo e secondo grado e classi superiori e classi inferiori nella scuola secondaria di secondo grado</w:t>
            </w:r>
          </w:p>
        </w:tc>
        <w:tc>
          <w:tcPr>
            <w:tcW w:w="232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Collaborazione tra pari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Nel peer tutoring, gli studenti si aiutano a vicenda nello studio e nella comprensione dei concetti. Questa collaborazione tra pari crea un ambiente di apprendimento positivo e stimolante.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Miglioramento delle abilità comunicative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Sia lo studente che agisce come tutore che lo studente che viene aiutato beneficiano del peer tutoring. Il tutore sviluppa le proprie abilità comunicative, imparando a spiegare concetti in modo chiaro e comprensibile, mentre lo studente che viene aiutato migliora la propria capacità di ascolto e comprensione.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Personalizzazione dell’apprendimento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Uno dei principali vantaggi del peer tutoring è che può essere personalizzato alle esigenze specifiche degli studenti. Il tutore può adattare il proprio metodo di insegnamento e i propri materiali alle necessità individuali dello studente che riceve l’aiuto.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Aumento della fiducia e della motivazione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Il peer tutoring può contribuire a migliorare la fiducia e la motivazione degli studenti. Lo studente che viene aiutato si sente sostenuto e incoraggiato nel suo percorso di apprendimento, mentre il tutore sviluppa un senso di responsabilità e gratificazione nel supportare gli altri.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Insegnamento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imparano a comunicare in modo efficace, adattando il proprio linguaggio e stile di insegnamento alle esigenze degli studenti. Questo sviluppa la loro capacità di spiegare concetti complessi in modo semplice e comprensibile.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Ascolto Attivo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devono ascoltare attentamente le domande e i dubbi degli studenti. Questo sviluppa la loro capacità di comprendere le esigenze specifiche e di rispondere in modo mirato.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Sociali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Il peer tutoring coinvolge interazioni sociali significative. I tutor sviluppano abilità di comunicazione, collaborazione e rispetto reciproco.</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1813"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Contenuto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acquisiscono una comprensione approfondita dei concetti e dei materiali oggetto di studio specifiche per il loro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3395"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Il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peer tutoring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è un metodo di apprendimento collaborativo che coinvolge studenti di diverse età o livelli scolastici. In particolare, il peer tutoring cross-age prevede la collaborazione tra studenti di classi diverse. Ecco come si svolgono questi laboratori: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Selezione dei Tutor</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insegnanti individuano gli studenti tutor. Questi tutor più competenti assisteranno gli studenti della scuola secondaria di primo grado.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Formazione dei Tutor</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ricevono una formazione orientata alla cooperazione e al lavoro di gruppo.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Attività di Apprendimento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Tutor e tutee lavorano insieme per praticare una specifica abilità o materia. Ad esempio, possono studiare insieme, risolvere problemi o fare esercizi.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Supervisione degli Insegnanti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insegnanti svolgono un ruolo di supervisione. Monitorano il processo di peer tutoring e forniscono supporto ai tutor e ai tutee.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Valutazione e Riflessione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Alla fine delle sessioni di peer tutoring, gli studenti riflettono sull’esperienza e valutano i progressi fatti.</w:t>
            </w:r>
          </w:p>
        </w:tc>
      </w:tr>
      <w:tr>
        <w:trPr/>
        <w:tc>
          <w:tcPr>
            <w:tcW w:w="2207" w:type="dxa"/>
            <w:tcBorders>
              <w:left w:val="single" w:sz="4" w:space="0" w:color="000000"/>
              <w:bottom w:val="single" w:sz="4" w:space="0" w:color="000000"/>
            </w:tcBorders>
            <w:shd w:fill="FFF5CE"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Elementi di diritto del lavoro</w:t>
            </w:r>
          </w:p>
        </w:tc>
        <w:tc>
          <w:tcPr>
            <w:tcW w:w="232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analisi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Essere in grado di analizzare casi giuridici e applicare le conoscenze acquisite per risolvere problemi specifici.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Comunicazione giuridica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Sviluppare una proprietà di linguaggio giuridico che consenta di comunicare con interlocutori specialisti.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Sviluppare posizioni critiche,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giuridicamente fondate in relazione agli argomenti trattati.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Ricerca giuridica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Saper utilizzare fonti giuridiche come leggi, sentenze e trattati per approfondire la comprensione di un argomento specifico.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Negoziazione e mediazione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Comprendere i principi della negoziazione e della mediazione nel contesto del diritto del lavoro.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istituzioni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Avere familiarità con le istituzioni giuridiche coinvolte nel diritto del lavoro, come i tribunali del lavoro, le commissioni di conciliazione e le organizzazioni sindacali.</w:t>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Saper redigere un curriculum vitae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presentare in modo chiaro e conciso le informazioni chiave, evidenziando le esperienze lavorative e le competenze più rilevanti per il ruolo desiderato.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1813"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fonti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Comprendere le diverse fonti del diritto del lavoro, come la legislazione di tutela del lavoro, l’autonomia collettiva e le norme europee.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Comprensione dei principi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Avere una solida comprensione dei principi fondamentali del diritto del lavoro, inclusi i diritti dei lavoratori e le responsabilità dei datori di lavoro.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3395"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Lezioni partecipate</w:t>
            </w:r>
          </w:p>
        </w:tc>
      </w:tr>
      <w:tr>
        <w:trPr/>
        <w:tc>
          <w:tcPr>
            <w:tcW w:w="2207" w:type="dxa"/>
            <w:tcBorders>
              <w:left w:val="single" w:sz="4" w:space="0" w:color="000000"/>
              <w:bottom w:val="single" w:sz="4" w:space="0" w:color="000000"/>
            </w:tcBorders>
            <w:shd w:fill="FFF5CE" w:val="clear"/>
          </w:tcPr>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Style w:val="Strong"/>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La privacy: un diritto da difendere</w:t>
            </w:r>
          </w:p>
        </w:tc>
        <w:tc>
          <w:tcPr>
            <w:tcW w:w="2328" w:type="dxa"/>
            <w:tcBorders>
              <w:left w:val="single" w:sz="4" w:space="0" w:color="000000"/>
              <w:bottom w:val="single" w:sz="4" w:space="0" w:color="000000"/>
            </w:tcBorders>
          </w:tcPr>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bCs/>
                <w:i w:val="false"/>
                <w:caps w:val="false"/>
                <w:smallCaps w:val="false"/>
                <w:strike w:val="false"/>
                <w:dstrike w:val="false"/>
                <w:color w:val="000000"/>
                <w:position w:val="0"/>
                <w:sz w:val="24"/>
                <w:sz w:val="24"/>
                <w:szCs w:val="24"/>
                <w:u w:val="none"/>
                <w:shd w:fill="auto" w:val="clear"/>
                <w:vertAlign w:val="baseline"/>
              </w:rPr>
              <w:t>Competenze socio-relazionali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comunicare in modo efficace sulle tematiche della privacy</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lavorare in gruppo per affrontare problemi legati alla privacy</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riflettere criticamente sulle tematiche della privacy</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1813" w:type="dxa"/>
            <w:tcBorders>
              <w:left w:val="single" w:sz="4" w:space="0" w:color="000000"/>
              <w:bottom w:val="single" w:sz="4" w:space="0" w:color="000000"/>
            </w:tcBorders>
          </w:tcPr>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Il concetto di privacy e la sua importanza: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arrivano a comprendere che la privacy è un diritto fondamentale dell'individuo, che consente a ognuno di vivere la propria vita senza interferenze.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 diversi aspetti della privacy: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arrivano a conoscere i diversi aspetti della privacy, come la privacy dei dati personali, la privacy delle comunicazioni, la privacy dell'immagine, ecc.</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 rischi della violazione della privacy: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acquisiscono consapevolezza dei rischi che possono derivare dalla violazione della privacy, come ad esempio l'identità digitale rubata, la discriminazione, il cyberbullismo, ecc.</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 modi per proteggere la propria privacy: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conoscono le misure che possono adottare per proteggere la propria privacy, sia nel mondo digitale che nella vita reale.</w:t>
            </w:r>
          </w:p>
        </w:tc>
        <w:tc>
          <w:tcPr>
            <w:tcW w:w="3395"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Lezioni partecipate</w:t>
            </w:r>
          </w:p>
        </w:tc>
      </w:tr>
    </w:tbl>
    <w:p>
      <w:pPr>
        <w:pStyle w:val="normal1"/>
        <w:keepNext w:val="false"/>
        <w:keepLines w:val="false"/>
        <w:pageBreakBefore w:val="false"/>
        <w:widowControl/>
        <w:spacing w:lineRule="auto" w:line="240" w:before="0" w:after="0"/>
        <w:ind w:hanging="0" w:left="0"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3465A4"/>
          <w:position w:val="0"/>
          <w:sz w:val="32"/>
          <w:sz w:val="32"/>
          <w:szCs w:val="32"/>
          <w:u w:val="none"/>
          <w:shd w:fill="auto" w:val="clear"/>
          <w:vertAlign w:val="baseline"/>
        </w:rPr>
      </w:pPr>
      <w:r>
        <w:rPr>
          <w:rFonts w:eastAsia="Calibri" w:cs="Calibri" w:ascii="Calibri" w:hAnsi="Calibri"/>
          <w:b/>
          <w:i w:val="false"/>
          <w:caps w:val="false"/>
          <w:smallCaps w:val="false"/>
          <w:strike w:val="false"/>
          <w:dstrike w:val="false"/>
          <w:color w:val="3465A4"/>
          <w:position w:val="0"/>
          <w:sz w:val="32"/>
          <w:sz w:val="32"/>
          <w:szCs w:val="32"/>
          <w:u w:val="none"/>
          <w:shd w:fill="auto" w:val="clear"/>
          <w:vertAlign w:val="baseline"/>
        </w:rPr>
      </w:r>
    </w:p>
    <w:p>
      <w:pPr>
        <w:pStyle w:val="normal1"/>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3465A4"/>
          <w:position w:val="0"/>
          <w:sz w:val="32"/>
          <w:sz w:val="32"/>
          <w:szCs w:val="32"/>
          <w:u w:val="none"/>
          <w:shd w:fill="auto" w:val="clear"/>
          <w:vertAlign w:val="baseline"/>
        </w:rPr>
      </w:pPr>
      <w:r>
        <w:rPr>
          <w:rFonts w:eastAsia="Calibri" w:cs="Calibri" w:ascii="Calibri" w:hAnsi="Calibri"/>
          <w:b/>
          <w:i w:val="false"/>
          <w:caps w:val="false"/>
          <w:smallCaps w:val="false"/>
          <w:strike w:val="false"/>
          <w:dstrike w:val="false"/>
          <w:color w:val="3465A4"/>
          <w:position w:val="0"/>
          <w:sz w:val="32"/>
          <w:sz w:val="32"/>
          <w:szCs w:val="32"/>
          <w:u w:val="none"/>
          <w:shd w:fill="auto" w:val="clear"/>
          <w:vertAlign w:val="baseline"/>
        </w:rPr>
      </w:r>
    </w:p>
    <w:p>
      <w:pPr>
        <w:pStyle w:val="normal1"/>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3465A4"/>
          <w:position w:val="0"/>
          <w:sz w:val="32"/>
          <w:sz w:val="32"/>
          <w:szCs w:val="32"/>
          <w:u w:val="none"/>
          <w:shd w:fill="auto" w:val="clear"/>
          <w:vertAlign w:val="baseline"/>
        </w:rPr>
      </w:pPr>
      <w:r>
        <w:rPr>
          <w:rFonts w:eastAsia="Calibri" w:cs="Calibri" w:ascii="Calibri" w:hAnsi="Calibri"/>
          <w:b/>
          <w:i w:val="false"/>
          <w:caps w:val="false"/>
          <w:smallCaps w:val="false"/>
          <w:strike w:val="false"/>
          <w:dstrike w:val="false"/>
          <w:color w:val="3465A4"/>
          <w:position w:val="0"/>
          <w:sz w:val="32"/>
          <w:sz w:val="32"/>
          <w:szCs w:val="32"/>
          <w:u w:val="none"/>
          <w:shd w:fill="auto" w:val="clear"/>
          <w:vertAlign w:val="baseline"/>
        </w:rPr>
        <w:t>ATTIVITÀ PER LE CLASSI QUINTE</w:t>
      </w:r>
    </w:p>
    <w:p>
      <w:pPr>
        <w:pStyle w:val="normal1"/>
        <w:keepNext w:val="false"/>
        <w:keepLines w:val="false"/>
        <w:pageBreakBefore w:val="false"/>
        <w:widowControl/>
        <w:spacing w:lineRule="auto" w:line="240" w:before="0" w:after="0"/>
        <w:ind w:hanging="0" w:left="0"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bl>
      <w:tblPr>
        <w:tblW w:w="9744" w:type="dxa"/>
        <w:jc w:val="left"/>
        <w:tblInd w:w="108" w:type="dxa"/>
        <w:tblLayout w:type="fixed"/>
        <w:tblCellMar>
          <w:top w:w="0" w:type="dxa"/>
          <w:left w:w="108" w:type="dxa"/>
          <w:bottom w:w="0" w:type="dxa"/>
          <w:right w:w="108" w:type="dxa"/>
        </w:tblCellMar>
      </w:tblPr>
      <w:tblGrid>
        <w:gridCol w:w="2375"/>
        <w:gridCol w:w="2329"/>
        <w:gridCol w:w="2208"/>
        <w:gridCol w:w="2831"/>
      </w:tblGrid>
      <w:tr>
        <w:trPr/>
        <w:tc>
          <w:tcPr>
            <w:tcW w:w="2375" w:type="dxa"/>
            <w:vMerge w:val="restart"/>
            <w:tcBorders>
              <w:top w:val="single" w:sz="4" w:space="0" w:color="000000"/>
              <w:left w:val="single" w:sz="4" w:space="0" w:color="000000"/>
              <w:bottom w:val="single" w:sz="4" w:space="0" w:color="000000"/>
            </w:tcBorders>
            <w:shd w:fill="B4C7DC" w:val="clear"/>
            <w:vAlign w:val="center"/>
          </w:tcPr>
          <w:p>
            <w:pPr>
              <w:pStyle w:val="normal1"/>
              <w:keepNext w:val="false"/>
              <w:keepLines w:val="false"/>
              <w:widowControl w:val="false"/>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Attività</w:t>
            </w:r>
          </w:p>
        </w:tc>
        <w:tc>
          <w:tcPr>
            <w:tcW w:w="4537" w:type="dxa"/>
            <w:gridSpan w:val="2"/>
            <w:tcBorders>
              <w:top w:val="single" w:sz="4" w:space="0" w:color="000000"/>
              <w:left w:val="single" w:sz="4" w:space="0" w:color="000000"/>
              <w:bottom w:val="single" w:sz="4" w:space="0" w:color="000000"/>
            </w:tcBorders>
            <w:shd w:fill="B4C7DC" w:val="clear"/>
            <w:vAlign w:val="center"/>
          </w:tcPr>
          <w:p>
            <w:pPr>
              <w:pStyle w:val="normal1"/>
              <w:widowControl w:val="false"/>
              <w:spacing w:lineRule="auto" w:line="240" w:before="0" w:after="0"/>
              <w:ind w:left="0" w:right="0"/>
              <w:jc w:val="center"/>
              <w:rPr>
                <w:rFonts w:ascii="Calibri" w:hAnsi="Calibri" w:eastAsia="Calibri" w:cs="Calibri"/>
                <w:b/>
              </w:rPr>
            </w:pPr>
            <w:r>
              <w:rPr>
                <w:rFonts w:eastAsia="Calibri" w:cs="Calibri" w:ascii="Calibri" w:hAnsi="Calibri"/>
                <w:b/>
              </w:rPr>
              <w:t>Obiettivi formativi</w:t>
            </w:r>
          </w:p>
        </w:tc>
        <w:tc>
          <w:tcPr>
            <w:tcW w:w="2831" w:type="dxa"/>
            <w:vMerge w:val="restart"/>
            <w:tcBorders>
              <w:top w:val="single" w:sz="4" w:space="0" w:color="000000"/>
              <w:left w:val="single" w:sz="4" w:space="0" w:color="000000"/>
              <w:bottom w:val="single" w:sz="4" w:space="0" w:color="000000"/>
              <w:right w:val="single" w:sz="4" w:space="0" w:color="000000"/>
            </w:tcBorders>
            <w:shd w:fill="B4C7DC" w:val="clear"/>
            <w:vAlign w:val="center"/>
          </w:tcPr>
          <w:p>
            <w:pPr>
              <w:pStyle w:val="normal1"/>
              <w:keepNext w:val="false"/>
              <w:keepLines w:val="false"/>
              <w:widowControl w:val="false"/>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Pratiche corrispondenti</w:t>
            </w:r>
          </w:p>
        </w:tc>
      </w:tr>
      <w:tr>
        <w:trPr>
          <w:trHeight w:val="383" w:hRule="atLeast"/>
        </w:trPr>
        <w:tc>
          <w:tcPr>
            <w:tcW w:w="2375" w:type="dxa"/>
            <w:vMerge w:val="continue"/>
            <w:tcBorders>
              <w:left w:val="single" w:sz="4" w:space="0" w:color="000000"/>
              <w:bottom w:val="single" w:sz="4" w:space="0" w:color="000000"/>
            </w:tcBorders>
            <w:shd w:fill="B4C7DC" w:val="clear"/>
            <w:vAlign w:val="center"/>
          </w:tcPr>
          <w:p>
            <w:pPr>
              <w:pStyle w:val="Normal"/>
              <w:rPr/>
            </w:pPr>
            <w:r>
              <w:rPr/>
            </w:r>
          </w:p>
        </w:tc>
        <w:tc>
          <w:tcPr>
            <w:tcW w:w="2329" w:type="dxa"/>
            <w:tcBorders>
              <w:left w:val="single" w:sz="4" w:space="0" w:color="000000"/>
              <w:bottom w:val="single" w:sz="4" w:space="0" w:color="000000"/>
            </w:tcBorders>
            <w:shd w:fill="EEEEEE" w:val="clear"/>
            <w:vAlign w:val="center"/>
          </w:tcPr>
          <w:p>
            <w:pPr>
              <w:pStyle w:val="normal1"/>
              <w:keepNext w:val="false"/>
              <w:keepLines w:val="false"/>
              <w:widowControl w:val="false"/>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Abilità/Competenze</w:t>
            </w:r>
          </w:p>
        </w:tc>
        <w:tc>
          <w:tcPr>
            <w:tcW w:w="2208" w:type="dxa"/>
            <w:tcBorders>
              <w:left w:val="single" w:sz="4" w:space="0" w:color="000000"/>
              <w:bottom w:val="single" w:sz="4" w:space="0" w:color="000000"/>
            </w:tcBorders>
            <w:shd w:fill="EEEEEE" w:val="clear"/>
            <w:vAlign w:val="center"/>
          </w:tcPr>
          <w:p>
            <w:pPr>
              <w:pStyle w:val="normal1"/>
              <w:keepNext w:val="false"/>
              <w:keepLines w:val="false"/>
              <w:widowControl w:val="false"/>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Conoscenze</w:t>
            </w:r>
          </w:p>
        </w:tc>
        <w:tc>
          <w:tcPr>
            <w:tcW w:w="2831" w:type="dxa"/>
            <w:vMerge w:val="continue"/>
            <w:tcBorders>
              <w:left w:val="single" w:sz="4" w:space="0" w:color="000000"/>
              <w:bottom w:val="single" w:sz="4" w:space="0" w:color="000000"/>
              <w:right w:val="single" w:sz="4" w:space="0" w:color="000000"/>
            </w:tcBorders>
            <w:shd w:fill="B4C7DC" w:val="clear"/>
            <w:vAlign w:val="center"/>
          </w:tcPr>
          <w:p>
            <w:pPr>
              <w:pStyle w:val="Normal"/>
              <w:rPr/>
            </w:pPr>
            <w:r>
              <w:rPr/>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Orientamento attivo nella transizione scuola-università organizzati dalle università – Corsi della durata di 15 ore a cura dell’</w:t>
            </w:r>
            <w:hyperlink r:id="rId29">
              <w:r>
                <w:rPr>
                  <w:rStyle w:val="Style7"/>
                  <w:rFonts w:eastAsia="Calibri" w:cs="Calibri" w:ascii="Calibri" w:hAnsi="Calibri"/>
                  <w:b/>
                  <w:i w:val="false"/>
                  <w:caps w:val="false"/>
                  <w:smallCaps w:val="false"/>
                  <w:strike w:val="false"/>
                  <w:dstrike w:val="false"/>
                  <w:color w:val="000080"/>
                  <w:position w:val="0"/>
                  <w:sz w:val="24"/>
                  <w:sz w:val="24"/>
                  <w:szCs w:val="24"/>
                  <w:u w:val="single"/>
                  <w:shd w:fill="auto" w:val="clear"/>
                  <w:vertAlign w:val="baseline"/>
                </w:rPr>
                <w:t>Università di Padova</w:t>
              </w:r>
            </w:hyperlink>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e dell’</w:t>
            </w:r>
            <w:hyperlink r:id="rId30">
              <w:r>
                <w:rPr>
                  <w:rStyle w:val="Style7"/>
                  <w:rFonts w:eastAsia="Calibri" w:cs="Calibri" w:ascii="Calibri" w:hAnsi="Calibri"/>
                  <w:b/>
                  <w:i w:val="false"/>
                  <w:caps w:val="false"/>
                  <w:smallCaps w:val="false"/>
                  <w:strike w:val="false"/>
                  <w:dstrike w:val="false"/>
                  <w:color w:val="000080"/>
                  <w:position w:val="0"/>
                  <w:sz w:val="24"/>
                  <w:sz w:val="24"/>
                  <w:szCs w:val="24"/>
                  <w:u w:val="single"/>
                  <w:shd w:fill="auto" w:val="clear"/>
                  <w:vertAlign w:val="baseline"/>
                </w:rPr>
                <w:t>Università Ca’ Foscari di Venezia</w:t>
              </w:r>
            </w:hyperlink>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Autoconsapevolezza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conoscere le proprie inclinazioni, interessi e punti di forza. Questo li aiuta a fare scelte informate riguardo ai percorsi di studio universitari o alle carriere professionali.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Orientamento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acquisiscono una comprensione delle diverse opzioni di carriera e dei requisiti per ciascuna. Imparano a valutare le opportunità di lavoro e a individuare le professioni che meglio si adattano alle loro aspirazioni.</w:t>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ricerca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cercare informazioni sulle università, i corsi di laurea, le opportunità di studio e le prospettive di carriera. Questa abilità è essenziale per prendere decisioni informate.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comunicazione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comunicare efficacemente con i consulenti universitari, i docenti e gli esperti del settore. Questo include la scrittura di e-mail, la partecipazione a sessioni informative e la partecipazione a eventi di orientamento.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Pianificazione e gestione del tempo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pianificare il loro percorso di studio, a gestire gli impegni accademici e a bilanciare studio, lavoro e vita personale.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adattamento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 transizione scuola-università può essere complessa. Gli studenti imparano a gestire il cambiamento, a superare le sfide e a sviluppare una mentalità aperta.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networking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connettersi con altri studenti, docenti e professionisti del settore. Questo può aiutarli a creare opportunità di stage, tirocini e collaborazioni future.</w:t>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sistema universitario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comprendere come funzionano le università, i diversi dipartimenti, le strutture accademiche e le risorse disponibili. Questo include informazioni sulle modalità di iscrizione, i requisiti di ammissione e i programmi di studio offerti.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Informazioni sui corsi di laurea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esplorano i vari corsi di laurea disponibili, compresi i contenuti dei corsi, le specializzazioni e le opportunità di studio. Questo aiuta gli studenti a fare scelte informate sulla loro futura carriera accademica.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Comprensione delle opportunità di carriera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l’orientamento, gli studenti apprendono quali sono le prospettive di carriera associate a determinati percorsi di studio. Questo include informazioni sulle professioni correlate a ciascun corso di laurea e le competenze richieste per avere successo in quei campi.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risorse di supporto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vengono informati sulle risorse di supporto disponibili all’interno dell’università, come i servizi di tutorato, i centri di consulenza, le biblioteche e i laboratori. Queste risorse possono aiutarli a superare eventuali difficoltà accademiche.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Comprensione delle aspettative accademiche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apprendono cosa ci si aspetta da loro in termini di partecipazione alle lezioni, studio individuale, esami e valutazioni. Questo li aiuta a prepararsi adeguatamente per l’ambiente universitario.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Sensibilizzazione alla diversità e all’inclusione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l’orientamento, gli studenti possono partecipare a sessioni che promuovono la consapevolezza della diversità culturale, sociale ed etnica. Questo li aiuta a sviluppare una mentalità aperta e rispettosa verso gli altri.</w:t>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 corsi di 15 ore sono composti da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moduli tematici differenti.</w:t>
            </w:r>
          </w:p>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Ciascun corso comprende uno o più moduli di carattere trasversale (con focus su temi quali: funzionamento mondo universitario, opportunità di formazione post diploma, bilancio di competenze, processo di scelta e di decision making, conoscenza di sé, autovalutazione, consapevolezza delle scelte, riflessioni su obiettivi e su prospettive future, sviluppo di competenze trasversali specifiche, aspetti comunicativi, narrativi, lavoro di gruppo e problem solving, aspetti emotivi e psicologici legati all'orientamento, mondo del lavoro e delle professioni), e moduli di carattere disciplinare, che hanno l’obiettivo di proporre agli alunni e alle alunne un’esperienza didattica disciplinare attiva, partecipativa e laboratoriale. Tali moduli introducono le diverse discipline evidenziando la loro eventuale correlazione con tematiche attuali e di interesse generale, menzionando contesti applicativi non immediati o focalizzando l’attenzione verso professioni e sbocchi occupazionali nuovi o poco noti.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La maggioranza dei corsi, prevede un modulo conclusivo erogato on line, dedicato allo sviluppo delle soft skills.</w:t>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Facciamo Azienda! Alla scoperta del mondo del lavoro”</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Creatività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pensare in modo creativo, sviluppando nuove idee e soluzioni.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Iniziativa: Vengono incoraggiati a prendere l’iniziativa e ad agire in modo proattivo.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Lavoro di squadra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collaborare con gli altri, a comunicare efficacemente e a risolvere problemi insieme.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Responsabilità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sviluppano un senso di responsabilità verso i compiti assegnati e le attività svolte.</w:t>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mondo del lavoro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come funzionano le aziende, i diversi ruoli all’interno di un’organizzazione e le dinamiche del mercato del lavoro.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competenze professionali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vengono introdotti a competenze specifiche richieste in vari settori, come la comunicazione, la gestione del tempo, la risoluzione dei problemi e l’uso di strumenti tecnologici.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risorse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utilizzare risorse come internet, libri di testo, esperti del settore e altre fonti per acquisire informazioni pertinenti.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normative e delle leggi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vengono informati su leggi e regolamenti che riguardano il mondo del lavoro, come i diritti dei lavoratori e le norme di sicurezza.</w:t>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laboratorio formativo basato sull’approccio del “learning by making”</w:t>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Salute e sicurezza, Ingresso nel mondo del lavoro, Rischi e opportunità</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Utilizzo sicuro degli strumenti di lavoro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utilizzare correttamente gli strumenti e le attrezzature sul posto di lavoro. Questo include la conoscenza delle precauzioni da prendere per evitare incidenti.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Comportamenti sicuri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sviluppano comportamenti responsabili e sicuri. Questo può riguardare l’uso di dispositivi di protezione individuale, la segnalazione tempestiva di situazioni a rischio e la promozione di una cultura della sicurezza.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Collegamento tra scuola e mondo del lavoro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comprendono come la sicurezza sul lavoro sia collegata al loro futuro impiego. Questo li aiuta a sviluppare una mentalità attenta alla sicurezza fin dai primi anni di formazione.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Promozione di stili di vita sani e sicuri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 formazione sulla sicurezza non riguarda solo il lavoro, ma anche la salute generale. Gli studenti imparano a prendersi cura di sé stessi e degli altri.</w:t>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norme di sicurezza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le leggi e le regolamentazioni riguardanti la sicurezza sul lavoro. Questo include la comprensione dei diritti e dei doveri dei lavoratori, nonché delle procedure di sicurezza.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dei rischi specifici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i rischi specifici associati a determinate attività o ambienti di lavoro. Questo può includere rischi legati a sostanze chimiche, macchinari, altezze, elettricità, ecc.</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Corsi e Workshop</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nei quali </w:t>
            </w:r>
            <w:r>
              <w:rPr>
                <w:rFonts w:eastAsia="Calibri" w:cs="Calibri" w:ascii="Calibri" w:hAnsi="Calibri"/>
              </w:rPr>
              <w:t>gli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esperti del mondo del lavoro possono condividere le loro conoscenze e competenze.</w:t>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Progetto esperto in cattedra</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tecniche specifiche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 seconda dell’indirizzo  di studi, gli studenti sviluppano competenze specifiche per il loro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Comunicazione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comunicare in modo efficace nel contesto lavorativo.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Gestione del tempo e organizzazione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pianificare il proprio lavoro, rispettare scadenze e gestire le risorse disponibili.</w:t>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Problem solving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Risolvere problemi pratici che possono sorgere nel contesto lavorativo. Questo include la capacità di adattarsi a situazioni impreviste.</w:t>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Collaborazione e teamwork</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Lavorare bene con i colleghi, ascoltare le loro opinioni e contribuire al raggiungimento degli obiettivi comuni.</w:t>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Conoscenze tecniche specifiche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 seconda dell’indirizzo di studi, gli studenti sviluppano conoscenze specifiche per il loro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Etica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Comprendere i principi etici nel proprio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delle leggi e normative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Comprendere le regole e i regolamenti specifici del proprio settore. Ad esempio, le leggi sulla sicurezza sul lavoro o le normative fiscali.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Corsi e Workshop</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nei quali I professionisti del mondo del lavoro, che sono esperti in specifiche materie tecniche, possono condividere le loro conoscenze e competenze.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Mentorship e Coaching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Offrire mentorship o servizi di coaching personalizzati. Gli esperti possono guidare gli studenti nel loro percorso formativo, fornendo consigli pratici e supporto.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Laboratori di peer tutoring tra scuole secondarie di primo e secondo grado e classi superiori e classi inferiori nella scuola secondaria di secondo grado</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Collaborazione tra pari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Nel peer tutoring, gli studenti si aiutano a vicenda nello studio e nella comprensione dei concetti. Questa collaborazione tra pari crea un ambiente di apprendimento positivo e stimolante.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Miglioramento delle abilità comunicative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Sia lo studente che agisce come tutore che lo studente che viene aiutato beneficiano del peer tutoring. Il tutore sviluppa le proprie abilità comunicative, imparando a spiegare concetti in modo chiaro e comprensibile, mentre lo studente che viene aiutato migliora la propria capacità di ascolto e comprensione.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Personalizzazione dell’apprendimento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Uno dei principali vantaggi del peer tutoring è che può essere personalizzato alle esigenze specifiche degli studenti. Il tutore può adattare il proprio metodo di insegnamento e i propri materiali alle necessità individuali dello studente che riceve l’aiuto.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Aumento della fiducia e della motivazione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Il peer tutoring può contribuire a migliorare la fiducia e la motivazione degli studenti. Lo studente che viene aiutato si sente sostenuto e incoraggiato nel suo percorso di apprendimento, mentre il tutore sviluppa un senso di responsabilità e gratificazione nel supportare gli altri.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Insegnamento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imparano a comunicare in modo efficace, adattando il proprio linguaggio e stile di insegnamento alle esigenze degli studenti. Questo sviluppa la loro capacità di spiegare concetti complessi in modo semplice e comprensibile.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di Ascolto Attivo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devono ascoltare attentamente le domande e i dubbi degli studenti. Questo sviluppa la loro capacità di comprendere le esigenze specifiche e di rispondere in modo mirato.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Sociali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Il peer tutoring coinvolge interazioni sociali significative. I tutor sviluppano abilità di comunicazione, collaborazione e rispetto reciproco.</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Contenuto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acquisiscono una comprensione approfondita dei concetti e dei materiali oggetto di studio specifiche per il loro settore.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Il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peer tutoring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è un metodo di apprendimento collaborativo che coinvolge studenti di diverse età o livelli scolastici. In particolare, il peer tutoring cross-age prevede la collaborazione tra studenti di classi diverse. Ecco come si svolgono questi laboratori: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Selezione dei Tutor</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insegnanti individuano gli studenti tutor. Questi tutor più competenti assisteranno gli studenti della scuola secondaria di primo grado.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Formazione dei Tutor</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 tutor ricevono una formazione orientata alla cooperazione e al lavoro di gruppo.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Attività di Apprendimento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Tutor e tutee lavorano insieme per praticare una specifica abilità o materia. Ad esempio, possono studiare insieme, risolvere problemi o fare esercizi.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Supervisione degli Insegnanti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insegnanti svolgono un ruolo di supervisione. Monitorano il processo di peer tutoring e forniscono supporto ai tutor e ai tutee.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Valutazione e Riflessione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Alla fine delle sessioni di peer tutoring, gli studenti riflettono sull’esperienza e valutano i progressi fatti.</w:t>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Incontri orientativi con</w:t>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le ITS </w:t>
            </w:r>
            <w:r>
              <w:rPr>
                <w:rFonts w:eastAsia="Calibri" w:cs="Calibri" w:ascii="Calibri" w:hAnsi="Calibri"/>
                <w:b/>
              </w:rPr>
              <w:t>Academy</w:t>
            </w:r>
          </w:p>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comunicative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Dominio dei diversi linguaggi, verbali e non, quotidiani, disciplinari e logici.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cognitive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comprendere ed elaborare il pensiero astratto e di acquisire un buon metodo di apprendimento.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e strategie metacognitive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Consapevolezza, monitoraggio, autovalutazione, predizione e progettazione.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e strategie metaemozionali o psico-sociali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Autoconsapevolezza, autocontrollo, motivazione, empatia e competenze sociali.</w:t>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Conoscenza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dei seguenti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aspetti chiave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riguardanti gli</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ITS </w:t>
            </w:r>
            <w:r>
              <w:rPr>
                <w:rFonts w:eastAsia="Calibri" w:cs="Calibri" w:ascii="Calibri" w:hAnsi="Calibri"/>
                <w:b/>
              </w:rPr>
              <w:t>Academy:</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Formazione Tecnica Avanzata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offrono corsi gratuiti della durata di due anni, fornendo una formazione tecnica altamente qualificata. Sono una valida alternativa all’università per coloro che desiderano specializzarsi in ambiti tecnologici.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Titolo di Tecnico Superiore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Al termine del percorso, gli studenti conseguono il titolo di tecnico superiore, che è riconosciuto a livello nazionale.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Connessione con l’Industria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sono espressione di una strategia che mira a collegare le competenze tecniche con le esigenze del mondo del lavoro e dell’industria.</w:t>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Decreti Attuativi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 legge n. 99/2022 ha istituito il Sistema terziario di istruzione tecnologica superiore, e gli ITS sono parte integrante di questo sistema.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Focus su Settori Specifici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si specializzano in settori specifici, come l’automazione industriale, l’informatica, la meccatronica, l’energia rinnovabile e altro ancora. Questo consente agli studenti di concentrarsi su aree di interesse specifiche.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Stage e Opportunità di Lavoro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il percorso di studio, gli studenti hanno l’opportunità di svolgere stage presso aziende partner. Questo favorisce l’inserimento nel mondo del lavoro una volta completato il corso.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Networking e Crescita Professionale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ITS offrono un ambiente di networking, consentendo agli studenti di connettersi con professionisti del settore e partecipare a eventi e conferenze.</w:t>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Panoramica sugli ITS </w:t>
            </w:r>
            <w:r>
              <w:rPr>
                <w:rFonts w:eastAsia="Calibri" w:cs="Calibri" w:ascii="Calibri" w:hAnsi="Calibri"/>
                <w:b/>
              </w:rPr>
              <w:t>Academy:</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Cosa sono gli ITS e come si differenziano da altre istituzioni di formazione.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Ruolo degli ITS nel collegamento tra istruzione, industria e lavoro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Esempi di settori tecnologici coperti dagli ITS</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Focus su Settori Specifici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Presentazione dei principali settori di specializzazione dell’ITS (ad esempio: automazione industriale, informatica, energia rinnovabile).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Sessione di Domande e Risposte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Gli studenti possono porre domande agli esperti ITS.</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Feedback e Conclusioni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Raccolta di feedback dagli studenti.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Invito a visitare l’ITS per ulteriori informazioni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Visite guidate orientative</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Lavoro di gruppo costruttivo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le visite guidate, gli studenti collaborano con i loro compagni di classe e imparano a lavorare insieme in modo produttivo.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Empatia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Interagendo con guide, compagni di classe e luoghi visitati, gli studenti sviluppano la capacità di comprendere e rispettare le prospettive altrui.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Gestione del tempo e delle informazioni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Le visite guidate richiedono pianificazione e organizzazione. Gli studenti imparano a gestire il proprio tempo e a selezionare le informazioni rilevanti.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narrative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Queste competenze riguardano la capacità di assumere il controllo sulla propria esistenza attraverso il linguaggio. Includono la capacità di individuare collegamenti, relazioni e di comunicare in modo efficace.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chiave di cittadinanza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Queste competenze includono imparare a imparare, progettare, comunicare, collaborare, agire in modo autonomo e responsabile, risolvere problemi, individuare collegamenti e relazioni, e acquisire ed interpretare l'informazione.</w:t>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contesto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la visita, gli studenti possono apprendere informazioni specifiche sul luogo o sull’istituzione visitata. Questo include la storia, la missione, le risorse disponibili e le opportunità offerte.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Presentazione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Introduzione all’esposizione o al luogo che verrà visitato. Spiegazione del contesto e dell’importanza dei contenuti.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Approccio didattico e divulgativo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 visita guidata può essere sia un momento di didattica (insegnamento) che di divulgazione (spiegazione). L’obiettivo è rendere il messaggio comprensibile, adattandolo alle conoscenze e alle competenze degli studenti.</w:t>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Attività di laboratorio di prodotto o di processo</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Tecniche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Padronanza delle procedure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seguire procedure specifiche per creare o elaborare prodotti o processi.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Utilizzo di strumenti e attrezzature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utilizzare attrezzature, strumenti e materiali specifici per il laboratorio.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Risoluzione di problemi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sviluppano la capacità di affrontare e risolvere problemi tecnici o pratici.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Analisi e valutazione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valutare i risultati ottenuti e a identificare possibili miglioramenti.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Cognitive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Pensiero critico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valutare informazioni, prendere decisioni e risolvere problemi in modo critico.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Apprendimento attivo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L’esperienza pratica nel laboratorio favorisce l’apprendimento attivo e la comprensione dei concetti teorici.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ricerca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cercare informazioni, analizzare dati e trarre conclusioni basate su prove.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Sociali ed Emotive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Collaborazione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Lavorare in gruppo nel laboratorio sviluppa abilità di collaborazione e comunicazione.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Gestione del tempo: Imparano a pianificare e organizzare il lavoro in modo efficiente.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Adattabilità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Affrontare situazioni diverse nel laboratorio aiuta gli studenti a sviluppare flessibilità e adattabilità.</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Comunicative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Comunicazione orale e scritta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esprimere idee e risultati in modo chiaro e coerente.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Presentazioni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sviluppano abilità di presentazione per condividere i loro progetti o risultati con gli altri.</w:t>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Utilizzo contestualizzato di conoscenze teoriche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Le conoscenze teoriche apprese in classe vengono applicate in modo pratico durante le attività di laboratorio. Ad esempio, gli studenti possono utilizzare principi di chimica per sintetizzare un composto o risolvere un problema di ingegneria.</w:t>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Le</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attività di laboratorio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di prodotto e di processo coinvolgono diverse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ognuna con un ruolo specifico nel processo di apprendimento: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Scelta dei processi e della sequenza delle fasi: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In questa fase gli studenti selezionano i processi da eseguire e stabiliscono l’ordine in cui verranno eseguiti.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Fase preanalitica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Pianificazion</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 Gli studenti pianificano l’attività, definendo obiettivi, risorse necessarie e procedure da seguire.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Raccolta dei materiali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Si raccolgono gli strumenti, i materiali e le risorse necessarie per l’attività.</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Preparazione dell’ambiente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Si allestisce lo spazio di lavoro e si organizzano le postazioni.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Fase analitica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Esecuzione del processo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seguono le procedure pianificate per eseguire il processo o creare il prodotto. Questa fase coinvolge l’applicazione pratica delle conoscenze teoriche.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Misurazioni e osservazioni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l’esecuzione, gli studenti raccolgono dati, misurano risultati e osservano il processo in azione.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Fase postanalitica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Valutazione di processo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l’attività, gli insegnanti valutano l’impegno degli studenti, la collaborazione e l’efficacia delle procedure. Questa valutazione avviene in tempo reale.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Valutazione di prodotto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Alla fine dell’attività, gli studenti presentano il prodotto finito. La valutazione di prodotto considera la qualità, la precisione e l’adeguatezza del risultato finale.</w:t>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Orientamento narrativo</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Costruzione di identità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Utilizzando narrazioni e racconti, gli studenti sviluppano una comprensione più profonda di sé stessi e della propria storia di vita. Questo processo aiuta a definire l’identità personale.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Autonomia e empowerment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L’orientamento narrativo mira a sviluppare l’autonomia nei soggetti, consentendo loro di prendere decisioni consapevoli e di agire in modo proattivo.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riflessione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Attraverso la narrazione, gli studenti imparano a riflettere sulle proprie esperienze, valori e obiettivi. Questa capacità di auto-riflessione è essenziale per l’orientamento.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Pensiero narrativo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L’utilizzo delle narrazioni stimola il pensiero metaforico e la capacità di vedere le proprie esperienze da diverse prospettive. Questo favorisce la creatività e la flessibilità mentale.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Costruzione di sceneggiature future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immaginare e pianificare il proprio futuro, considerando diverse opzioni e possibili percorsi.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Condivisione di significat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 Le storie condivise con altri facilitano la comprensione reciproca e la costruzione di significati condivisi.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Abilità interpretative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L’analisi delle narrazioni sviluppa la capacità di interpretare situazioni complesse e di trarre conclusioni.</w:t>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Paradigmi della pedagogia della narrazione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Uno studente può comprendere i principali paradigmi della pedagogia della narrazione in relazione alle rappresentazioni delle forme di diversità.</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Letteratura e narratologia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Acquisire familiarità con l’ambito letterario e narratologico, comprendendo la complessità dei significati nei testi narrativi e conoscendo il panorama dei generi letterari e narrativi.</w:t>
            </w:r>
          </w:p>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Analisi dell’immaginario e circolarità dei temi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Riconoscere le categorie d’analisi dell’immaginario e comprendere come i temi e le icone si intrecciano tra i linguaggi delle finzioni, come letteratura, cinema e teatro.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Valore della conoscenza delle storie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Comprendere il valore della conoscenza della storia e delle storie portate dall’utenza nella qualità relazionale e comunicativa.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Setting specifico del momento narrante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Conoscere le caratteristiche del contesto specifico in cui avviene la narrazione e i principali contributi teorici in ambito psicologico, pedagogico e antropologico.</w:t>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L’orientamento narrativo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utilizza narrazioni e racconti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(come racconti orali, romanzi, film, audiovisivi, ecc.) come materiali per facilitare la costruzione dell’identità e lo sviluppo delle competenze nei soggetti, consentendo l’autorientamento. Questo approccio si basa sulla convinzione che ciascuno, se adeguatamente supportato, possa governare e gestire la propria esistenza, diventando autore e interprete del “romanzo” della propria vita</w:t>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Spazio ascolto</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Comunicazione efficace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esprimere i propri pensieri, emozioni e preoccupazioni in modo chiaro e rispettoso. Questa abilità è fondamentale per le relazioni interpersonali e per la risoluzione dei conflitti.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Empatia e comprensione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Interagendo con gli operatori dello Spazio Ascolto, gli studenti sviluppano la capacità di mettersi nei panni degli altri e comprendere le diverse prospettive. Questo favorisce la creazione di un ambiente scolastico più inclusivo.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Gestione delle emozioni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Lo Spazio Ascolto offre uno spazio sicuro per esplorare e affrontare le proprie emozioni. Gli studenti imparano a riconoscere e gestire lo stress, l’ansia e altre emozioni negative.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Problem solving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Affrontando le sfide personali, gli studenti imparano a cercare soluzioni e strategie per superarle. Questa abilità è utile non solo nella vita scolastica, ma anche nel futuro professionale.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Autonomia e responsabilità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Partecipando allo Spazio Ascolto, gli studenti imparano a prendersi cura di sé stessi e a chiedere aiuto quando necessario. Questo promuove l’autonomia e la responsabilità personale.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Consapevolezza di sé</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Riflettendo sulle proprie esperienze e sentimenti, gli studenti sviluppano una maggiore consapevolezza di sé stessi. Questo può aiutarli a prendere decisioni più consapevoli e a sviluppare una sana autostima.</w:t>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Consapevolezza emotiva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riconoscere e comprendere le proprie emozioni. Questa consapevolezza è fondamentale per la gestione delle emozioni e per sviluppare relazioni sane.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Strategie di coping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Attraverso il supporto ricevuto nello Spazio Ascolto, gli studenti apprendono strategie per affrontare lo stress, l’ansia e altre difficoltà personali. Queste strategie possono essere utili per tutta la vita.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di risorse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operatori dello Spazio Ascolto forniscono informazioni sugli strumenti e le risorse disponibili per affrontare le difficoltà. Gli studenti imparano a cercare aiuto quando necessario.</w:t>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Presidio psicologico che opera all’interno dell’ambiente scolastico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Esso mette a disposizione strumenti propri dell’area clinica e consente agli studenti di usufruirne nel loro spazio quotidiano di apprendimento. In altre parole, è uno spazio dedicato a supportare gli studenti che affrontano difficoltà emotive o personali, offrendo loro la possibilità di esprimere le proprie preoccupazioni e ricevere aiuto. Questo servizio è fondamentale per la salute mentale degli adolescenti, poiché si concentra sulla comprensione di sé e sul supporto durante una fase cruciale del loro sviluppo. È un luogo in cui gli studenti possono trovare ascolto, comprensione e sostegno per affrontare le sfide della vita scolastica e personale.</w:t>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Incontri con ex alunni diventati imprenditori</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Creatività e spirito d’iniziativa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Interagendo con imprenditori, gli studenti possono sviluppare la capacità di pensare in modo creativo, identificare opportunità e proporre soluzioni innovative.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networking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incontri con ex alunni imprenditori consentono agli studenti di ampliare la loro rete di contatti professionali. Questo può essere utile per future opportunità di lavoro o per avviare una propria impresa.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Soft skills</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Questi incontri favoriscono lo sviluppo di competenze trasversali, come la comunicazione efficace, la gestione del tempo, la leadership e la capacità di lavorare in team.</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Comprendere il rischio d’impresa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possono apprendere dai successi e dagli insuccessi degli imprenditori, comprendendo meglio il rischio associato all’avvio e alla gestione di un’impresa.</w:t>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mondo imprenditoriale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incontri con ex alunni imprenditori offrono agli studenti l’opportunità di comprendere meglio il funzionamento delle imprese, le sfide che gli imprenditori affrontano e le strategie di successo.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Strategie imprenditoriali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possono apprendere direttamente dalle esperienze degli imprenditori riguardo alle strategie di avvio e gestione di un’impresa. Questo include aspetti come la pianificazione aziendale, la gestione delle risorse e la definizione di obiettivi.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Analisi di mercato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incontri con ex alunni imprenditori offrono l’opportunità di discutere le dinamiche del mercato, l’identificazione dei bisogni dei clienti e la valutazione della concorrenza. Questa conoscenza è fondamentale per il successo di qualsiasi impresa.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Finanza e contabilità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imprenditori possono condividere informazioni sulle pratiche finanziarie, la gestione dei flussi di cassa, la contabilità e la valutazione delle performance aziendali. Questi aspetti sono essenziali per la sostenibilità finanziaria di un’azienda.</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Marketing e comunicazione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possono apprendere come promuovere un’impresa, creare una brand identity, utilizzare i social media e sviluppare strategie di marketing efficaci.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Gestione delle risorse umane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incontri con imprenditori possono fornire informazioni sulla gestione del personale, la creazione di un ambiente di lavoro positivo e la motivazione dei dipendenti.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Leggi e regolamenti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imprenditori possono condividere le loro esperienze riguardo alle leggi e ai regolamenti che riguardano le imprese. Questo include aspetti come la proprietà intellettuale, le licenze e le normative fiscali.</w:t>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Workshop</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nel quale gli imprenditori possono condividere le loro conoscenze e competenze.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Mentorship e Coaching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Offrire mentorship o servizi di coaching personalizzati. Gli imprenditori possono guidare gli studenti nel loro percorso formativo, fornendo consigli pratici e supporto.</w:t>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Salute e sicurezza, ingresso nel mondo del lavoro, rischi e opportunità</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Competenze comunicative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migliorano le loro abilità di comunicazione, sia verbalmente che per iscritto. Questo è essenziale per interagire con colleghi, datori di lavoro e clienti nel mondo del lavoro.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Problem solving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Il progetto può coinvolgere la risoluzione di situazioni complesse legate alla salute e alla sicurezza. Gli studenti imparano a identificare problemi, analizzare le cause e trovare soluzioni efficaci.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Gestione del tempo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Partecipando al progetto, gli studenti imparano a pianificare e organizzare il proprio lavoro. Questa competenza è fondamentale per affrontare le sfide quotidiane nel mondo professionale.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Collaborazione e lavoro di squadra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Attraverso attività di gruppo, gli studenti imparano a collaborare con i loro coetanei, a rispettare le opinioni degli altri e a lavorare insieme per raggiungere obiettivi comuni.</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della salute e sicurezza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imparano a comprendere i rischi per la salute e la sicurezza sul luogo di lavoro. Questo include la conoscenza delle normative, delle procedure di sicurezza e delle misure preventive.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Consapevolezza dei rischi e delle opportunità</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Attraverso il progetto, gli studenti sviluppano una maggiore consapevolezza dei rischi associati a determinate attività lavorative. Allo stesso tempo, imparano a riconoscere le opportunità e a prendere decisioni informate.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del mondo del lavoro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Il progetto offre agli studenti l’opportunità di esplorare il mondo del lavoro, conoscere diverse professioni e settori. Questa conoscenza può aiutarli a prendere decisioni informate sulla loro futura carriera.</w:t>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Incontro formativo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nel quale I professionisti del mondo del lavoro, che sono esperti in specifiche materie tecniche, condividono le loro conoscenze e competenze.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Mentorship e Coaching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Offrire mentorship o servizi di coaching personalizzati. Gli esperti possono guidare gli studenti nel loro percorso formativo, fornendo consigli pratici e supporto.</w:t>
            </w:r>
          </w:p>
        </w:tc>
      </w:tr>
      <w:tr>
        <w:trPr/>
        <w:tc>
          <w:tcPr>
            <w:tcW w:w="2375" w:type="dxa"/>
            <w:tcBorders>
              <w:left w:val="single" w:sz="4" w:space="0" w:color="000000"/>
              <w:bottom w:val="single" w:sz="4" w:space="0" w:color="000000"/>
            </w:tcBorders>
            <w:shd w:fill="DEDCE6" w:val="clear"/>
          </w:tcPr>
          <w:p>
            <w:pPr>
              <w:pStyle w:val="normal1"/>
              <w:keepNext w:val="false"/>
              <w:keepLines w:val="false"/>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Linux day</w:t>
            </w:r>
          </w:p>
        </w:tc>
        <w:tc>
          <w:tcPr>
            <w:tcW w:w="2329"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Competenza Digitale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Il Linux Day offre l’opportunità di imparare a utilizzare il sistema operativo Linux, sviluppando competenze nell’installazione, configurazione e gestione di software open-source. Questa competenza digitale è fondamentale per l’uso sicuro e critico delle tecnologie digitali.</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Competenza Tecnica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Gli studenti possono apprendere le basi della programmazione, scripting e amministrazione di sistemi Linux. Queste competenze sono preziose per chiunque voglia lavorare nel campo dell’informatica o dell’ingegneria del software.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Problem Solving</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Durante il Linux Day, gli studenti affrontano sfide pratiche e risolvono problemi legati all’installazione, alla configurazione e all’uso di Linux. Questo sviluppa la loro capacità di risolvere problemi in modo creativo e metodico.</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Collaborazione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Partecipando a workshop e attività di gruppo, gli studenti imparano a collaborare con i loro coetanei, scambiando idee e risorse. La collaborazione è essenziale nel mondo del lavoro e nella vita in generale.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Autonomia e Autodidattica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L’esperienza del Linux Day incoraggia gli studenti a esplorare autonomamente, cercare soluzioni online e imparare in modo indipendente.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208" w:type="dxa"/>
            <w:tcBorders>
              <w:left w:val="single" w:sz="4" w:space="0" w:color="000000"/>
              <w:bottom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Conoscenza Open Source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Il Linux Day promuove la conoscenza e l’apprezzamento del software open-source. Gli studenti imparano a utilizzare risorse gratuite e a contribuire alla comunità open-source.</w:t>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un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Linux Day</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si articola in:</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Talk</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Spazi per le presentazioni (talvolta suddivise per aree tematiche).</w:t>
            </w:r>
          </w:p>
          <w:p>
            <w:pPr>
              <w:pStyle w:val="normal1"/>
              <w:keepNext w:val="false"/>
              <w:keepLines w:val="false"/>
              <w:widowControl w:val="false"/>
              <w:spacing w:lineRule="auto" w:line="240" w:before="0" w:after="0"/>
              <w:ind w:hanging="0" w:left="0" w:right="0"/>
              <w:jc w:val="left"/>
              <w:rPr>
                <w:rFonts w:ascii="Liberation Serif" w:hAnsi="Liberation Serif" w:eastAsia="Liberation Serif" w:cs="Liberation Serif"/>
                <w:b/>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Linux Install Party (LIP)</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Uno spazio in cui il pubblico può portare il proprio computer e ricevere assistenza nell’installazione e configurazione di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GNU/Linux</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val="false"/>
              <w:spacing w:lineRule="auto" w:line="240" w:before="0" w:after="0"/>
              <w:ind w:hanging="0" w:left="0" w:right="0"/>
              <w:jc w:val="left"/>
              <w:rPr>
                <w:rFonts w:ascii="Liberation Serif" w:hAnsi="Liberation Serif" w:eastAsia="Liberation Serif" w:cs="Liberation Serif"/>
                <w:b/>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Banchetti tematici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Luoghi in cui porre domande su argomenti specifici.</w:t>
            </w:r>
          </w:p>
          <w:p>
            <w:pPr>
              <w:pStyle w:val="normal1"/>
              <w:keepNext w:val="false"/>
              <w:keepLines w:val="false"/>
              <w:widowControl w:val="false"/>
              <w:spacing w:lineRule="auto" w:line="240" w:before="0" w:after="0"/>
              <w:ind w:hanging="0" w:left="0" w:right="0"/>
              <w:jc w:val="left"/>
              <w:rPr>
                <w:rFonts w:ascii="Liberation Serif" w:hAnsi="Liberation Serif" w:eastAsia="Liberation Serif" w:cs="Liberation Serif"/>
                <w:b/>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Workshop di approfondimento</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Sessioni distribuite su più ore.</w:t>
            </w:r>
          </w:p>
          <w:p>
            <w:pPr>
              <w:pStyle w:val="normal1"/>
              <w:keepNext w:val="false"/>
              <w:keepLines w:val="false"/>
              <w:widowControl w:val="false"/>
              <w:spacing w:lineRule="auto" w:line="240" w:before="0" w:after="0"/>
              <w:ind w:hanging="0" w:left="0" w:right="0"/>
              <w:jc w:val="left"/>
              <w:rPr>
                <w:rFonts w:ascii="Liberation Serif" w:hAnsi="Liberation Serif" w:eastAsia="Liberation Serif" w:cs="Liberation Serif"/>
                <w:b/>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Conferenze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Tenute da personaggi di spicco del panorama del software libero italiano.</w:t>
            </w:r>
          </w:p>
          <w:p>
            <w:pPr>
              <w:pStyle w:val="normal1"/>
              <w:keepNext w:val="false"/>
              <w:keepLines w:val="false"/>
              <w:widowControl w:val="false"/>
              <w:spacing w:lineRule="auto" w:line="240" w:before="0" w:after="0"/>
              <w:ind w:hanging="0" w:left="0" w:right="0"/>
              <w:jc w:val="left"/>
              <w:rPr>
                <w:rFonts w:ascii="Liberation Serif" w:hAnsi="Liberation Serif" w:eastAsia="Liberation Serif" w:cs="Liberation Serif"/>
                <w:b/>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pacing w:lineRule="auto" w:line="240" w:before="0" w:after="0"/>
              <w:ind w:hanging="0" w:left="0" w:right="0"/>
              <w:jc w:val="left"/>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Distribuzione di materiale informativo e gadgets</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tc>
      </w:tr>
      <w:tr>
        <w:trPr/>
        <w:tc>
          <w:tcPr>
            <w:tcW w:w="2375" w:type="dxa"/>
            <w:tcBorders>
              <w:left w:val="single" w:sz="4" w:space="0" w:color="000000"/>
              <w:bottom w:val="single" w:sz="4" w:space="0" w:color="000000"/>
            </w:tcBorders>
            <w:shd w:fill="DEDCE6" w:val="clear"/>
          </w:tcPr>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Style w:val="Strong"/>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La privacy: un diritto da difendere</w:t>
            </w:r>
          </w:p>
        </w:tc>
        <w:tc>
          <w:tcPr>
            <w:tcW w:w="2329" w:type="dxa"/>
            <w:tcBorders>
              <w:left w:val="single" w:sz="4" w:space="0" w:color="000000"/>
              <w:bottom w:val="single" w:sz="4" w:space="0" w:color="000000"/>
            </w:tcBorders>
          </w:tcPr>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bCs/>
                <w:i w:val="false"/>
                <w:caps w:val="false"/>
                <w:smallCaps w:val="false"/>
                <w:strike w:val="false"/>
                <w:dstrike w:val="false"/>
                <w:color w:val="000000"/>
                <w:position w:val="0"/>
                <w:sz w:val="24"/>
                <w:sz w:val="24"/>
                <w:szCs w:val="24"/>
                <w:u w:val="none"/>
                <w:shd w:fill="auto" w:val="clear"/>
                <w:vertAlign w:val="baseline"/>
              </w:rPr>
              <w:t>Competenze socio-relazionali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comunicare in modo efficace sulle tematiche della privacy</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lavorare in gruppo per affrontare problemi legati alla privacy</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Capacità di riflettere criticamente sulle tematiche della privacy</w:t>
            </w:r>
          </w:p>
          <w:p>
            <w:pPr>
              <w:pStyle w:val="normal1"/>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208" w:type="dxa"/>
            <w:tcBorders>
              <w:left w:val="single" w:sz="4" w:space="0" w:color="000000"/>
              <w:bottom w:val="single" w:sz="4" w:space="0" w:color="000000"/>
            </w:tcBorders>
          </w:tcPr>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Il concetto di privacy e la sua importanza: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arrivano a comprendere che la privacy è un diritto fondamentale dell'individuo, che consente a ognuno di vivere la propria vita senza interferenze.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 diversi aspetti della privacy: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arrivano a conoscere i diversi aspetti della privacy, come la privacy dei dati personali, la privacy delle comunicazioni, la privacy dell'immagine, ecc.</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 rischi della violazione della privacy: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acquisiscono consapevolezza dei rischi che possono derivare dalla violazione della privacy, come ad esempio l'identità digitale rubata, la discriminazione, il cyberbullismo, ecc.</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I modi per proteggere la propria privacy: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Gli studenti conoscono le misure che possono adottare per proteggere la propria privacy, sia nel mondo digitale che nella vita reale.</w:t>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Lezioni partecipate</w:t>
            </w:r>
          </w:p>
        </w:tc>
      </w:tr>
      <w:tr>
        <w:trPr/>
        <w:tc>
          <w:tcPr>
            <w:tcW w:w="2375" w:type="dxa"/>
            <w:tcBorders>
              <w:left w:val="single" w:sz="4" w:space="0" w:color="000000"/>
              <w:bottom w:val="single" w:sz="4" w:space="0" w:color="000000"/>
            </w:tcBorders>
            <w:shd w:fill="DEDCE6" w:val="clear"/>
          </w:tcPr>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Style w:val="Strong"/>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Professioni sanitarie: competenze, responsabilità e diritti</w:t>
            </w:r>
          </w:p>
        </w:tc>
        <w:tc>
          <w:tcPr>
            <w:tcW w:w="2329" w:type="dxa"/>
            <w:tcBorders>
              <w:left w:val="single" w:sz="4" w:space="0" w:color="000000"/>
              <w:bottom w:val="single" w:sz="4" w:space="0" w:color="000000"/>
            </w:tcBorders>
          </w:tcPr>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Competenze trasversali,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come la comunicazione, il lavoro di squadra e la risoluzione dei problemi</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interpretare e applicare le norme del contratto collettivo nazionale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applicare i principi etici nella pratica professionale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prevenire la responsabilità professionale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Capacità di orientarsi nel sistema sanitario italiano</w:t>
            </w:r>
          </w:p>
        </w:tc>
        <w:tc>
          <w:tcPr>
            <w:tcW w:w="2208" w:type="dxa"/>
            <w:tcBorders>
              <w:left w:val="single" w:sz="4" w:space="0" w:color="000000"/>
              <w:bottom w:val="single" w:sz="4" w:space="0" w:color="000000"/>
            </w:tcBorders>
          </w:tcPr>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Professioni sanitarie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Conoscenza delle diverse professioni sanitarie</w:t>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Comprensione delle competenze e dei ruoli delle diverse professioni sanitarie</w:t>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Conoscenza dei principi etici e deontologici che guidano l'esercizio delle professioni sanitarie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Contratto collettivo nazionale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Conoscenza dei diritti e dei doveri dei professionisti sanitari</w:t>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Conoscenza delle regole e delle procedure che regolano il rapporto di lavoro tra i professionisti sanitari e i loro datori di lavoro</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Deontologia e etica professionale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Comprensione dei principi etici che guidano l'esercizio delle professioni sanitarie</w:t>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Conoscenza delle norme deontologiche che regolano l'esercizio delle professioni sanitarie</w:t>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Capacità di applicare i principi etici e le norme deontologiche nella pratica professionale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Responsabilità professionale</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Conoscenza delle diverse forme di responsabilità professionale</w:t>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Comprensione delle cause e delle conseguenze della responsabilità professionale</w:t>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Capacità di prevenire la responsabilità professionale</w:t>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Sistema sanitario</w:t>
            </w:r>
          </w:p>
          <w:p>
            <w:pPr>
              <w:pStyle w:val="normal1"/>
              <w:widowControl w:val="false"/>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Conoscenza del sistema sanitario italiano</w:t>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Comprensione dei principi e dei valori che ispirano il sistema sanitario italiano</w:t>
            </w:r>
          </w:p>
          <w:p>
            <w:pPr>
              <w:pStyle w:val="normal1"/>
              <w:widowControl w:val="false"/>
              <w:spacing w:lineRule="auto" w:line="240" w:before="0" w:after="0"/>
              <w:ind w:hanging="0" w:left="0" w:right="0"/>
              <w:jc w:val="left"/>
              <w:rPr>
                <w:rFonts w:ascii="Calibri" w:hAnsi="Calibri" w:eastAsia="Calibri" w:cs="Calibri"/>
                <w:b w:val="false"/>
                <w:bCs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 Conoscenza delle strutture e delle funzioni del sistema sanitario italiano</w:t>
            </w:r>
          </w:p>
        </w:tc>
        <w:tc>
          <w:tcPr>
            <w:tcW w:w="2831" w:type="dxa"/>
            <w:tcBorders>
              <w:left w:val="single" w:sz="4" w:space="0" w:color="000000"/>
              <w:bottom w:val="single" w:sz="4" w:space="0" w:color="000000"/>
              <w:right w:val="single" w:sz="4" w:space="0" w:color="000000"/>
            </w:tcBorders>
          </w:tcPr>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Lezioni partecipate</w:t>
            </w:r>
          </w:p>
        </w:tc>
      </w:tr>
    </w:tbl>
    <w:p>
      <w:pPr>
        <w:pStyle w:val="normal1"/>
        <w:keepNext w:val="false"/>
        <w:keepLines w:val="false"/>
        <w:pageBreakBefore w:val="false"/>
        <w:widowControl/>
        <w:spacing w:lineRule="auto" w:line="240" w:before="0" w:after="0"/>
        <w:ind w:hanging="0" w:left="0"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pacing w:lineRule="auto" w:line="240" w:before="0" w:after="0"/>
        <w:ind w:hanging="0" w:left="0" w:right="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BodyText"/>
        <w:shd w:val="clear" w:color="auto" w:fill="DBE5F1" w:themeFill="accent1" w:themeFillTint="33"/>
        <w:spacing w:before="7" w:after="0"/>
        <w:jc w:val="center"/>
        <w:rPr>
          <w:sz w:val="56"/>
          <w:szCs w:val="56"/>
        </w:rPr>
      </w:pPr>
      <w:r>
        <w:rPr>
          <w:sz w:val="56"/>
          <w:szCs w:val="56"/>
        </w:rPr>
        <w:t>DESTINATARI</w:t>
      </w:r>
    </w:p>
    <w:p>
      <w:pPr>
        <w:pStyle w:val="BodyText"/>
        <w:widowControl w:val="false"/>
        <w:bidi w:val="0"/>
        <w:spacing w:before="7" w:after="0"/>
        <w:jc w:val="left"/>
        <w:rPr>
          <w:rFonts w:ascii="Calibri" w:hAnsi="Calibri" w:eastAsia="Calibri" w:cs="Calibri"/>
          <w:sz w:val="24"/>
          <w:szCs w:val="24"/>
          <w:lang w:val="it-IT" w:eastAsia="it-IT" w:bidi="it-IT"/>
        </w:rPr>
      </w:pPr>
      <w:r>
        <w:rPr>
          <w:rFonts w:eastAsia="Calibri" w:cs="Calibri"/>
          <w:sz w:val="24"/>
          <w:szCs w:val="24"/>
          <w:lang w:val="it-IT" w:eastAsia="it-IT" w:bidi="it-IT"/>
        </w:rPr>
      </w:r>
    </w:p>
    <w:p>
      <w:pPr>
        <w:pStyle w:val="BodyText"/>
        <w:widowControl w:val="false"/>
        <w:bidi w:val="0"/>
        <w:spacing w:before="7" w:after="0"/>
        <w:jc w:val="left"/>
        <w:rPr>
          <w:rFonts w:ascii="Calibri" w:hAnsi="Calibri" w:eastAsia="Calibri" w:cs="Calibri"/>
          <w:sz w:val="24"/>
          <w:szCs w:val="24"/>
          <w:lang w:val="it-IT" w:eastAsia="it-IT" w:bidi="it-IT"/>
        </w:rPr>
      </w:pPr>
      <w:r>
        <w:rPr>
          <w:rFonts w:eastAsia="Calibri" w:cs="Calibri"/>
          <w:sz w:val="24"/>
          <w:szCs w:val="24"/>
          <w:lang w:val="it-IT" w:eastAsia="it-IT" w:bidi="it-IT"/>
        </w:rPr>
        <w:t>Le attività di orientamento coinvolgeranno gli studenti di tutte le classi, con particolare attenzione a quelli delle ultime annualità. Saranno guidati in percorsi di esplorazione delle proprie attitudini e interessi, con l'obiettivo di supportarli nella scelta consapevole del proprio futuro formativo e professionale.</w:t>
      </w:r>
    </w:p>
    <w:p>
      <w:pPr>
        <w:pStyle w:val="BodyText"/>
        <w:widowControl w:val="false"/>
        <w:bidi w:val="0"/>
        <w:spacing w:before="7" w:after="0"/>
        <w:jc w:val="left"/>
        <w:rPr>
          <w:rFonts w:ascii="Calibri" w:hAnsi="Calibri" w:eastAsia="Calibri" w:cs="Calibri"/>
          <w:sz w:val="24"/>
          <w:szCs w:val="24"/>
          <w:lang w:val="it-IT" w:eastAsia="it-IT" w:bidi="it-IT"/>
        </w:rPr>
      </w:pPr>
      <w:r>
        <w:rPr>
          <w:rFonts w:eastAsia="Calibri" w:cs="Calibri"/>
          <w:sz w:val="24"/>
          <w:szCs w:val="24"/>
          <w:lang w:val="it-IT" w:eastAsia="it-IT" w:bidi="it-IT"/>
        </w:rPr>
      </w:r>
    </w:p>
    <w:p>
      <w:pPr>
        <w:pStyle w:val="BodyText"/>
        <w:widowControl w:val="false"/>
        <w:bidi w:val="0"/>
        <w:spacing w:before="7" w:after="0"/>
        <w:jc w:val="left"/>
        <w:rPr>
          <w:rFonts w:ascii="Calibri" w:hAnsi="Calibri" w:eastAsia="Calibri" w:cs="Calibri"/>
          <w:sz w:val="24"/>
          <w:szCs w:val="24"/>
          <w:lang w:val="it-IT" w:eastAsia="it-IT" w:bidi="it-IT"/>
        </w:rPr>
      </w:pPr>
      <w:r>
        <w:rPr>
          <w:rFonts w:eastAsia="Calibri" w:cs="Calibri"/>
          <w:sz w:val="24"/>
          <w:szCs w:val="24"/>
          <w:lang w:val="it-IT" w:eastAsia="it-IT" w:bidi="it-IT"/>
        </w:rPr>
        <w:t>Inoltre, saranno coinvolte le famiglie degli studenti, fornendo loro strumenti e risorse utili per supportare i propri figli nelle scelte scolastiche e professionali.</w:t>
      </w:r>
    </w:p>
    <w:p>
      <w:pPr>
        <w:pStyle w:val="BodyText"/>
        <w:widowControl w:val="false"/>
        <w:bidi w:val="0"/>
        <w:spacing w:before="7" w:after="0"/>
        <w:jc w:val="left"/>
        <w:rPr>
          <w:rFonts w:ascii="Calibri" w:hAnsi="Calibri" w:eastAsia="Calibri" w:cs="Calibri"/>
          <w:sz w:val="24"/>
          <w:szCs w:val="24"/>
          <w:lang w:val="it-IT" w:eastAsia="it-IT" w:bidi="it-IT"/>
        </w:rPr>
      </w:pPr>
      <w:r>
        <w:rPr>
          <w:rFonts w:eastAsia="Calibri" w:cs="Calibri"/>
          <w:sz w:val="24"/>
          <w:szCs w:val="24"/>
          <w:lang w:val="it-IT" w:eastAsia="it-IT" w:bidi="it-IT"/>
        </w:rPr>
      </w:r>
    </w:p>
    <w:tbl>
      <w:tblPr>
        <w:tblStyle w:val="Grigliatabella"/>
        <w:tblW w:w="975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250"/>
        <w:gridCol w:w="3251"/>
        <w:gridCol w:w="3251"/>
      </w:tblGrid>
      <w:tr>
        <w:trPr/>
        <w:tc>
          <w:tcPr>
            <w:tcW w:w="3250" w:type="dxa"/>
            <w:tcBorders>
              <w:right w:val="nil"/>
            </w:tcBorders>
          </w:tcPr>
          <w:p>
            <w:pPr>
              <w:pStyle w:val="BodyText"/>
              <w:widowControl w:val="false"/>
              <w:suppressAutoHyphens w:val="true"/>
              <w:bidi w:val="0"/>
              <w:spacing w:before="7" w:after="0"/>
              <w:jc w:val="center"/>
              <w:rPr>
                <w:rFonts w:ascii="Calibri" w:hAnsi="Calibri" w:eastAsia="Calibri" w:cs="Calibri" w:eastAsiaTheme="minorHAnsi"/>
                <w:b/>
                <w:bCs/>
                <w:color w:val="auto"/>
                <w:kern w:val="0"/>
                <w:sz w:val="24"/>
                <w:szCs w:val="24"/>
                <w:lang w:val="it-IT" w:eastAsia="it-IT" w:bidi="it-IT"/>
              </w:rPr>
            </w:pPr>
            <w:r>
              <w:rPr>
                <w:rFonts w:eastAsia="Calibri" w:cs="Calibri" w:eastAsiaTheme="minorHAnsi"/>
                <w:b/>
                <w:bCs/>
                <w:color w:val="auto"/>
                <w:kern w:val="0"/>
                <w:sz w:val="24"/>
                <w:szCs w:val="24"/>
                <w:lang w:val="it-IT" w:eastAsia="it-IT" w:bidi="it-IT"/>
              </w:rPr>
              <w:t>Indirizzo</w:t>
            </w:r>
          </w:p>
        </w:tc>
        <w:tc>
          <w:tcPr>
            <w:tcW w:w="3251" w:type="dxa"/>
            <w:tcBorders>
              <w:right w:val="nil"/>
            </w:tcBorders>
          </w:tcPr>
          <w:p>
            <w:pPr>
              <w:pStyle w:val="BodyText"/>
              <w:widowControl w:val="false"/>
              <w:suppressAutoHyphens w:val="true"/>
              <w:bidi w:val="0"/>
              <w:spacing w:before="7" w:after="0"/>
              <w:jc w:val="center"/>
              <w:rPr>
                <w:rFonts w:ascii="Calibri" w:hAnsi="Calibri" w:eastAsia="Calibri" w:cs="Calibri" w:eastAsiaTheme="minorHAnsi"/>
                <w:b/>
                <w:bCs/>
                <w:color w:val="auto"/>
                <w:kern w:val="0"/>
                <w:sz w:val="24"/>
                <w:szCs w:val="24"/>
                <w:lang w:val="it-IT" w:eastAsia="it-IT" w:bidi="it-IT"/>
              </w:rPr>
            </w:pPr>
            <w:r>
              <w:rPr>
                <w:rFonts w:eastAsia="Calibri" w:cs="Calibri" w:eastAsiaTheme="minorHAnsi"/>
                <w:b/>
                <w:bCs/>
                <w:color w:val="auto"/>
                <w:kern w:val="0"/>
                <w:sz w:val="24"/>
                <w:szCs w:val="24"/>
                <w:lang w:val="it-IT" w:eastAsia="it-IT" w:bidi="it-IT"/>
              </w:rPr>
              <w:t>BIENNIO-TRIENNIO</w:t>
            </w:r>
          </w:p>
        </w:tc>
        <w:tc>
          <w:tcPr>
            <w:tcW w:w="3251" w:type="dxa"/>
            <w:tcBorders/>
          </w:tcPr>
          <w:p>
            <w:pPr>
              <w:pStyle w:val="BodyText"/>
              <w:widowControl w:val="false"/>
              <w:suppressAutoHyphens w:val="true"/>
              <w:bidi w:val="0"/>
              <w:spacing w:before="7" w:after="0"/>
              <w:jc w:val="center"/>
              <w:rPr>
                <w:rFonts w:ascii="Calibri" w:hAnsi="Calibri" w:eastAsia="Calibri" w:cs="Calibri" w:eastAsiaTheme="minorHAnsi"/>
                <w:b/>
                <w:bCs/>
                <w:color w:val="auto"/>
                <w:kern w:val="0"/>
                <w:sz w:val="24"/>
                <w:szCs w:val="24"/>
                <w:lang w:val="it-IT" w:eastAsia="it-IT" w:bidi="it-IT"/>
              </w:rPr>
            </w:pPr>
            <w:r>
              <w:rPr>
                <w:rFonts w:eastAsia="Calibri" w:cs="Calibri" w:eastAsiaTheme="minorHAnsi"/>
                <w:b/>
                <w:bCs/>
                <w:color w:val="auto"/>
                <w:kern w:val="0"/>
                <w:sz w:val="24"/>
                <w:szCs w:val="24"/>
                <w:lang w:val="it-IT" w:eastAsia="it-IT" w:bidi="it-IT"/>
              </w:rPr>
              <w:t>classe</w:t>
            </w:r>
          </w:p>
        </w:tc>
      </w:tr>
      <w:tr>
        <w:trPr/>
        <w:tc>
          <w:tcPr>
            <w:tcW w:w="3250"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INFORMATICA E TELECOMUNICAZIONI ARTICOLAZIONE “INFORMATICA”</w:t>
            </w:r>
          </w:p>
        </w:tc>
        <w:tc>
          <w:tcPr>
            <w:tcW w:w="3251"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TRIENNIO</w:t>
            </w:r>
          </w:p>
        </w:tc>
        <w:tc>
          <w:tcPr>
            <w:tcW w:w="3251" w:type="dxa"/>
            <w:tcBorders>
              <w:top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TUTTE LE CLASSI DEL TRIENNIO</w:t>
            </w:r>
          </w:p>
        </w:tc>
      </w:tr>
      <w:tr>
        <w:trPr/>
        <w:tc>
          <w:tcPr>
            <w:tcW w:w="3250"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ELETTRONICA ED ELETTROTECNICA ARTICOLAZIONE “ELETTRONICA”</w:t>
            </w:r>
          </w:p>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r>
          </w:p>
        </w:tc>
        <w:tc>
          <w:tcPr>
            <w:tcW w:w="3251"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TRIENNIO</w:t>
            </w:r>
          </w:p>
        </w:tc>
        <w:tc>
          <w:tcPr>
            <w:tcW w:w="3251" w:type="dxa"/>
            <w:tcBorders>
              <w:top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TUTTE LE CLASSI DEL TRIENNIO</w:t>
            </w:r>
          </w:p>
        </w:tc>
      </w:tr>
      <w:tr>
        <w:trPr/>
        <w:tc>
          <w:tcPr>
            <w:tcW w:w="3250"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BIOTECNOLOGIE AMBIENTALI</w:t>
            </w:r>
          </w:p>
        </w:tc>
        <w:tc>
          <w:tcPr>
            <w:tcW w:w="3251"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TRIENNIO</w:t>
            </w:r>
          </w:p>
        </w:tc>
        <w:tc>
          <w:tcPr>
            <w:tcW w:w="3251" w:type="dxa"/>
            <w:tcBorders>
              <w:top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TUTTE LE CLASSI DEL TRIENNIO</w:t>
            </w:r>
          </w:p>
        </w:tc>
      </w:tr>
      <w:tr>
        <w:trPr/>
        <w:tc>
          <w:tcPr>
            <w:tcW w:w="3250"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BIOTECNOLOGIE SANITARIE</w:t>
            </w:r>
          </w:p>
        </w:tc>
        <w:tc>
          <w:tcPr>
            <w:tcW w:w="3251"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TRIENNIO</w:t>
            </w:r>
          </w:p>
        </w:tc>
        <w:tc>
          <w:tcPr>
            <w:tcW w:w="3251" w:type="dxa"/>
            <w:tcBorders>
              <w:top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TUTTE LE CLASSI DEL TRIENNIO</w:t>
            </w:r>
          </w:p>
        </w:tc>
      </w:tr>
      <w:tr>
        <w:trPr/>
        <w:tc>
          <w:tcPr>
            <w:tcW w:w="3250"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MECCANICA-MECCATRONICA</w:t>
            </w:r>
          </w:p>
        </w:tc>
        <w:tc>
          <w:tcPr>
            <w:tcW w:w="3251"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TRIENNIO</w:t>
            </w:r>
          </w:p>
        </w:tc>
        <w:tc>
          <w:tcPr>
            <w:tcW w:w="3251" w:type="dxa"/>
            <w:tcBorders>
              <w:top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TUTTE LE CLASSI DEL TRIENNIO</w:t>
            </w:r>
          </w:p>
        </w:tc>
      </w:tr>
      <w:tr>
        <w:trPr/>
        <w:tc>
          <w:tcPr>
            <w:tcW w:w="3250"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LOGISTICA</w:t>
            </w:r>
          </w:p>
        </w:tc>
        <w:tc>
          <w:tcPr>
            <w:tcW w:w="3251"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TRIENNIO</w:t>
            </w:r>
          </w:p>
        </w:tc>
        <w:tc>
          <w:tcPr>
            <w:tcW w:w="3251" w:type="dxa"/>
            <w:tcBorders>
              <w:top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TUTTE LE CLASSI DEL TRIENNIO</w:t>
            </w:r>
          </w:p>
        </w:tc>
      </w:tr>
      <w:tr>
        <w:trPr/>
        <w:tc>
          <w:tcPr>
            <w:tcW w:w="3250"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MANUTENZIONE E ASSISTENZA TECNICA</w:t>
            </w:r>
          </w:p>
        </w:tc>
        <w:tc>
          <w:tcPr>
            <w:tcW w:w="3251"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TRIENNIO</w:t>
            </w:r>
          </w:p>
        </w:tc>
        <w:tc>
          <w:tcPr>
            <w:tcW w:w="3251" w:type="dxa"/>
            <w:tcBorders>
              <w:top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TUTTE LE CLASSI DEL TRIENNIO</w:t>
            </w:r>
          </w:p>
        </w:tc>
      </w:tr>
      <w:tr>
        <w:trPr/>
        <w:tc>
          <w:tcPr>
            <w:tcW w:w="3250"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INDUSTRIA E ARTIGIANATO PER IL MADE IN ITALY (EX METALMECCANICO)</w:t>
            </w:r>
          </w:p>
        </w:tc>
        <w:tc>
          <w:tcPr>
            <w:tcW w:w="3251"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TRIENNIO</w:t>
            </w:r>
          </w:p>
        </w:tc>
        <w:tc>
          <w:tcPr>
            <w:tcW w:w="3251" w:type="dxa"/>
            <w:tcBorders>
              <w:top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TUTTE LE CLASSI DEL TRIENNIO</w:t>
            </w:r>
          </w:p>
        </w:tc>
      </w:tr>
      <w:tr>
        <w:trPr/>
        <w:tc>
          <w:tcPr>
            <w:tcW w:w="3250"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SERVIZI PER LA SANITÀ E L'ASSISTENZA SOCIALE (SERVIZI SOCIO-SANITARI)</w:t>
            </w:r>
          </w:p>
        </w:tc>
        <w:tc>
          <w:tcPr>
            <w:tcW w:w="3251"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TRIENNIO</w:t>
            </w:r>
          </w:p>
        </w:tc>
        <w:tc>
          <w:tcPr>
            <w:tcW w:w="3251" w:type="dxa"/>
            <w:tcBorders>
              <w:top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TUTTE LE CLASSI DEL TRIENNIO</w:t>
            </w:r>
          </w:p>
        </w:tc>
      </w:tr>
      <w:tr>
        <w:trPr/>
        <w:tc>
          <w:tcPr>
            <w:tcW w:w="3250"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ODONTOTECNICO</w:t>
            </w:r>
          </w:p>
        </w:tc>
        <w:tc>
          <w:tcPr>
            <w:tcW w:w="3251" w:type="dxa"/>
            <w:tcBorders>
              <w:top w:val="nil"/>
              <w:right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TRIENNIO</w:t>
            </w:r>
          </w:p>
        </w:tc>
        <w:tc>
          <w:tcPr>
            <w:tcW w:w="3251" w:type="dxa"/>
            <w:tcBorders>
              <w:top w:val="nil"/>
            </w:tcBorders>
          </w:tcPr>
          <w:p>
            <w:pPr>
              <w:pStyle w:val="BodyText"/>
              <w:widowControl w:val="false"/>
              <w:suppressAutoHyphens w:val="true"/>
              <w:bidi w:val="0"/>
              <w:spacing w:before="7" w:after="0"/>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t>TUTTE LE CLASSI DEL TRIENNIO</w:t>
            </w:r>
          </w:p>
        </w:tc>
      </w:tr>
    </w:tbl>
    <w:p>
      <w:pPr>
        <w:pStyle w:val="Normal"/>
        <w:widowControl w:val="false"/>
        <w:bidi w:val="0"/>
        <w:spacing w:before="7" w:after="0"/>
        <w:jc w:val="left"/>
        <w:rPr>
          <w:rFonts w:ascii="Calibri" w:hAnsi="Calibri" w:eastAsia="Calibri" w:cs="Calibri"/>
          <w:sz w:val="24"/>
          <w:szCs w:val="24"/>
          <w:lang w:val="it-IT" w:eastAsia="it-IT" w:bidi="it-IT"/>
        </w:rPr>
      </w:pPr>
      <w:r>
        <w:rPr>
          <w:rFonts w:eastAsia="Calibri" w:cs="Calibri"/>
          <w:sz w:val="24"/>
          <w:szCs w:val="24"/>
          <w:lang w:val="it-IT" w:eastAsia="it-IT" w:bidi="it-IT"/>
        </w:rPr>
      </w:r>
    </w:p>
    <w:p>
      <w:pPr>
        <w:pStyle w:val="Normal"/>
        <w:widowControl w:val="false"/>
        <w:bidi w:val="0"/>
        <w:spacing w:before="7" w:after="0"/>
        <w:jc w:val="left"/>
        <w:rPr>
          <w:rFonts w:ascii="Calibri" w:hAnsi="Calibri" w:eastAsia="Calibri" w:cs="Calibri"/>
          <w:sz w:val="24"/>
          <w:szCs w:val="24"/>
          <w:lang w:val="it-IT" w:eastAsia="it-IT" w:bidi="it-IT"/>
        </w:rPr>
      </w:pPr>
      <w:r>
        <w:rPr>
          <w:rFonts w:eastAsia="Calibri" w:cs="Calibri"/>
          <w:sz w:val="24"/>
          <w:szCs w:val="24"/>
          <w:lang w:val="it-IT" w:eastAsia="it-IT" w:bidi="it-IT"/>
        </w:rPr>
      </w:r>
    </w:p>
    <w:p>
      <w:pPr>
        <w:pStyle w:val="Normal"/>
        <w:widowControl w:val="false"/>
        <w:bidi w:val="0"/>
        <w:spacing w:before="7" w:after="0"/>
        <w:jc w:val="left"/>
        <w:rPr>
          <w:rFonts w:ascii="Calibri" w:hAnsi="Calibri" w:eastAsia="Calibri" w:cs="Calibri"/>
          <w:sz w:val="24"/>
          <w:szCs w:val="24"/>
          <w:lang w:val="it-IT" w:eastAsia="it-IT" w:bidi="it-IT"/>
        </w:rPr>
      </w:pPr>
      <w:r>
        <w:rPr>
          <w:rFonts w:eastAsia="Calibri" w:cs="Calibri"/>
          <w:sz w:val="24"/>
          <w:szCs w:val="24"/>
          <w:lang w:val="it-IT" w:eastAsia="it-IT" w:bidi="it-IT"/>
        </w:rPr>
      </w:r>
    </w:p>
    <w:p>
      <w:pPr>
        <w:pStyle w:val="BodyText"/>
        <w:shd w:val="clear" w:color="auto" w:fill="DBE5F1" w:themeFill="accent1" w:themeFillTint="33"/>
        <w:spacing w:before="7" w:after="0"/>
        <w:jc w:val="center"/>
        <w:rPr>
          <w:sz w:val="56"/>
          <w:szCs w:val="56"/>
        </w:rPr>
      </w:pPr>
      <w:r>
        <w:rPr>
          <w:sz w:val="56"/>
          <w:szCs w:val="56"/>
        </w:rPr>
        <w:t>OBIETTIVI DIDATTICI</w:t>
      </w:r>
    </w:p>
    <w:p>
      <w:pPr>
        <w:pStyle w:val="BodyText"/>
        <w:shd w:val="clear" w:color="auto" w:fill="FFFFFF" w:themeFill="background1"/>
        <w:spacing w:before="7" w:after="0"/>
        <w:jc w:val="center"/>
        <w:rPr>
          <w:rFonts w:ascii="Calibri" w:hAnsi="Calibri" w:eastAsia="Calibri" w:cs="Calibri"/>
          <w:b/>
          <w:bCs/>
          <w:sz w:val="24"/>
          <w:szCs w:val="24"/>
          <w:lang w:val="it-IT" w:eastAsia="it-IT" w:bidi="it-IT"/>
        </w:rPr>
      </w:pPr>
      <w:r>
        <w:rPr>
          <w:rFonts w:eastAsia="Calibri" w:cs="Calibri"/>
          <w:b/>
          <w:bCs/>
          <w:sz w:val="24"/>
          <w:szCs w:val="24"/>
          <w:lang w:val="it-IT" w:eastAsia="it-IT" w:bidi="it-IT"/>
        </w:rPr>
      </w:r>
    </w:p>
    <w:tbl>
      <w:tblPr>
        <w:tblStyle w:val="Grigliatabella"/>
        <w:tblW w:w="975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336"/>
        <w:gridCol w:w="3165"/>
        <w:gridCol w:w="3251"/>
      </w:tblGrid>
      <w:tr>
        <w:trPr/>
        <w:tc>
          <w:tcPr>
            <w:tcW w:w="3336" w:type="dxa"/>
            <w:tcBorders/>
          </w:tcPr>
          <w:p>
            <w:pPr>
              <w:pStyle w:val="BodyText"/>
              <w:widowControl w:val="false"/>
              <w:suppressAutoHyphens w:val="true"/>
              <w:bidi w:val="0"/>
              <w:spacing w:before="7" w:after="0"/>
              <w:jc w:val="center"/>
              <w:rPr>
                <w:rFonts w:ascii="Calibri" w:hAnsi="Calibri" w:eastAsia="Calibri" w:cs="Calibri" w:asciiTheme="minorHAnsi" w:eastAsiaTheme="minorHAnsi" w:hAnsiTheme="minorHAnsi"/>
                <w:b/>
                <w:bCs/>
                <w:color w:val="auto"/>
                <w:kern w:val="0"/>
                <w:sz w:val="24"/>
                <w:szCs w:val="24"/>
                <w:lang w:val="it-IT" w:eastAsia="it-IT" w:bidi="it-IT"/>
              </w:rPr>
            </w:pPr>
            <w:r>
              <w:rPr>
                <w:rFonts w:eastAsia="Calibri" w:cs="Calibri" w:eastAsiaTheme="minorHAnsi"/>
                <w:b/>
                <w:bCs/>
                <w:color w:val="auto"/>
                <w:kern w:val="0"/>
                <w:sz w:val="24"/>
                <w:szCs w:val="24"/>
                <w:lang w:val="it-IT" w:eastAsia="it-IT" w:bidi="it-IT"/>
              </w:rPr>
              <w:t>Conoscenze</w:t>
            </w:r>
          </w:p>
        </w:tc>
        <w:tc>
          <w:tcPr>
            <w:tcW w:w="3165" w:type="dxa"/>
            <w:tcBorders/>
          </w:tcPr>
          <w:p>
            <w:pPr>
              <w:pStyle w:val="BodyText"/>
              <w:widowControl w:val="false"/>
              <w:suppressAutoHyphens w:val="true"/>
              <w:bidi w:val="0"/>
              <w:spacing w:before="7" w:after="0"/>
              <w:jc w:val="center"/>
              <w:rPr>
                <w:rFonts w:ascii="Calibri" w:hAnsi="Calibri" w:eastAsia="Calibri" w:cs="Calibri" w:asciiTheme="minorHAnsi" w:eastAsiaTheme="minorHAnsi" w:hAnsiTheme="minorHAnsi"/>
                <w:b/>
                <w:bCs/>
                <w:color w:val="auto"/>
                <w:kern w:val="0"/>
                <w:sz w:val="24"/>
                <w:szCs w:val="24"/>
                <w:lang w:val="it-IT" w:eastAsia="it-IT" w:bidi="it-IT"/>
              </w:rPr>
            </w:pPr>
            <w:r>
              <w:rPr>
                <w:rFonts w:eastAsia="Calibri" w:cs="Calibri" w:eastAsiaTheme="minorHAnsi"/>
                <w:b/>
                <w:bCs/>
                <w:color w:val="auto"/>
                <w:kern w:val="0"/>
                <w:sz w:val="24"/>
                <w:szCs w:val="24"/>
                <w:lang w:val="it-IT" w:eastAsia="it-IT" w:bidi="it-IT"/>
              </w:rPr>
              <w:t>Abilita’</w:t>
            </w:r>
          </w:p>
        </w:tc>
        <w:tc>
          <w:tcPr>
            <w:tcW w:w="3251" w:type="dxa"/>
            <w:tcBorders/>
          </w:tcPr>
          <w:p>
            <w:pPr>
              <w:pStyle w:val="BodyText"/>
              <w:widowControl w:val="false"/>
              <w:suppressAutoHyphens w:val="true"/>
              <w:bidi w:val="0"/>
              <w:spacing w:before="7" w:after="0"/>
              <w:jc w:val="center"/>
              <w:rPr>
                <w:rFonts w:ascii="Calibri" w:hAnsi="Calibri" w:eastAsia="Calibri" w:cs="Calibri" w:asciiTheme="minorHAnsi" w:eastAsiaTheme="minorHAnsi" w:hAnsiTheme="minorHAnsi"/>
                <w:b/>
                <w:bCs/>
                <w:color w:val="auto"/>
                <w:kern w:val="0"/>
                <w:sz w:val="24"/>
                <w:szCs w:val="24"/>
                <w:lang w:val="it-IT" w:eastAsia="it-IT" w:bidi="it-IT"/>
              </w:rPr>
            </w:pPr>
            <w:r>
              <w:rPr>
                <w:rFonts w:eastAsia="Calibri" w:cs="Calibri" w:eastAsiaTheme="minorHAnsi"/>
                <w:b/>
                <w:bCs/>
                <w:color w:val="auto"/>
                <w:kern w:val="0"/>
                <w:sz w:val="24"/>
                <w:szCs w:val="24"/>
                <w:lang w:val="it-IT" w:eastAsia="it-IT" w:bidi="it-IT"/>
              </w:rPr>
              <w:t>Competenze</w:t>
            </w:r>
          </w:p>
        </w:tc>
      </w:tr>
      <w:tr>
        <w:trPr/>
        <w:tc>
          <w:tcPr>
            <w:tcW w:w="3336" w:type="dxa"/>
            <w:tcBorders/>
          </w:tcPr>
          <w:p>
            <w:pPr>
              <w:pStyle w:val="BodyText"/>
              <w:widowControl w:val="false"/>
              <w:suppressAutoHyphens w:val="true"/>
              <w:bidi w:val="0"/>
              <w:spacing w:before="7" w:after="0"/>
              <w:jc w:val="left"/>
              <w:rPr>
                <w:rFonts w:ascii="Calibri" w:hAnsi="Calibri" w:eastAsia="Calibri" w:cs="Calibri" w:asciiTheme="minorHAnsi" w:eastAsiaTheme="minorHAnsi" w:hAnsiTheme="minorHAnsi"/>
                <w:color w:val="auto"/>
                <w:kern w:val="0"/>
                <w:sz w:val="24"/>
                <w:szCs w:val="24"/>
                <w:lang w:val="it-IT" w:eastAsia="it-IT" w:bidi="it-IT"/>
              </w:rPr>
            </w:pPr>
            <w:r>
              <w:rPr>
                <w:rStyle w:val="Strong"/>
                <w:rFonts w:eastAsia="Calibri" w:cs="Calibri" w:eastAsiaTheme="minorHAnsi"/>
                <w:color w:val="auto"/>
                <w:kern w:val="0"/>
                <w:sz w:val="24"/>
                <w:szCs w:val="24"/>
                <w:lang w:val="it-IT" w:eastAsia="it-IT" w:bidi="it-IT"/>
              </w:rPr>
              <w:t>Conoscenza delle opportunità nel sistema di istruzione terziario e universitario</w:t>
            </w:r>
            <w:r>
              <w:rPr>
                <w:rFonts w:eastAsia="Calibri" w:cs="Calibri" w:eastAsiaTheme="minorHAnsi"/>
                <w:color w:val="auto"/>
                <w:kern w:val="0"/>
                <w:sz w:val="24"/>
                <w:szCs w:val="24"/>
                <w:lang w:val="it-IT" w:eastAsia="it-IT" w:bidi="it-IT"/>
              </w:rPr>
              <w:t>: Gli studenti vengono guidati nella valutazione delle diverse offerte formative disponibili, come università e ITS Academy. Attraverso incontri informativi e visite a istituzioni educative, gli studenti acquisiscono una comprensione approfondita delle opzioni a loro disposizione, in modo da poter fare scelte consapevoli e allineate alle loro aspirazioni e competenze.</w:t>
            </w:r>
          </w:p>
          <w:p>
            <w:pPr>
              <w:pStyle w:val="BodyText"/>
              <w:widowControl w:val="false"/>
              <w:suppressAutoHyphens w:val="true"/>
              <w:bidi w:val="0"/>
              <w:spacing w:before="7" w:after="0"/>
              <w:jc w:val="left"/>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r>
          </w:p>
          <w:p>
            <w:pPr>
              <w:pStyle w:val="BodyText"/>
              <w:widowControl w:val="false"/>
              <w:suppressAutoHyphens w:val="true"/>
              <w:bidi w:val="0"/>
              <w:spacing w:before="7" w:after="0"/>
              <w:jc w:val="left"/>
              <w:rPr>
                <w:rFonts w:ascii="Calibri" w:hAnsi="Calibri" w:eastAsia="Calibri" w:cs="Calibri" w:asciiTheme="minorHAnsi" w:eastAsiaTheme="minorHAnsi" w:hAnsiTheme="minorHAnsi"/>
                <w:color w:val="auto"/>
                <w:kern w:val="0"/>
                <w:sz w:val="24"/>
                <w:szCs w:val="24"/>
                <w:lang w:val="it-IT" w:eastAsia="it-IT" w:bidi="it-IT"/>
              </w:rPr>
            </w:pPr>
            <w:r>
              <w:rPr>
                <w:rStyle w:val="Strong"/>
                <w:rFonts w:eastAsia="Calibri" w:cs="Calibri" w:eastAsiaTheme="minorHAnsi"/>
                <w:color w:val="auto"/>
                <w:kern w:val="0"/>
                <w:sz w:val="24"/>
                <w:szCs w:val="24"/>
                <w:lang w:val="it-IT" w:eastAsia="it-IT" w:bidi="it-IT"/>
              </w:rPr>
              <w:t>Consapevolezza delle opportunità lavorative</w:t>
            </w:r>
            <w:r>
              <w:rPr>
                <w:rFonts w:eastAsia="Calibri" w:cs="Calibri" w:eastAsiaTheme="minorHAnsi"/>
                <w:color w:val="auto"/>
                <w:kern w:val="0"/>
                <w:sz w:val="24"/>
                <w:szCs w:val="24"/>
                <w:lang w:val="it-IT" w:eastAsia="it-IT" w:bidi="it-IT"/>
              </w:rPr>
              <w:t>: La didattica orientativa aiuta gli studenti a esplorare le diverse professioni e settori lavorativi presenti nel contesto locale. Attraverso ricerche di mercato, incontri con professionisti e stage, gli studenti acquisiscono informazioni preziose sulle opportunità di carriera, comprendendo le competenze richieste e le prospettive di crescita in vari ambiti professionali.</w:t>
            </w:r>
          </w:p>
        </w:tc>
        <w:tc>
          <w:tcPr>
            <w:tcW w:w="3165" w:type="dxa"/>
            <w:tcBorders/>
          </w:tcPr>
          <w:p>
            <w:pPr>
              <w:pStyle w:val="BodyText"/>
              <w:widowControl w:val="false"/>
              <w:suppressAutoHyphens w:val="true"/>
              <w:bidi w:val="0"/>
              <w:spacing w:before="7" w:after="0"/>
              <w:jc w:val="left"/>
              <w:rPr/>
            </w:pPr>
            <w:r>
              <w:rPr>
                <w:rFonts w:eastAsia="Calibri" w:cs="Calibri" w:eastAsiaTheme="minorHAnsi"/>
                <w:b/>
                <w:bCs/>
                <w:color w:val="auto"/>
                <w:kern w:val="0"/>
                <w:sz w:val="24"/>
                <w:szCs w:val="24"/>
                <w:lang w:val="it-IT" w:eastAsia="it-IT" w:bidi="it-IT"/>
              </w:rPr>
              <w:t>Sviluppo e scoperta di attitudini, abilità e interessi personali</w:t>
            </w:r>
            <w:r>
              <w:rPr>
                <w:rFonts w:eastAsia="Calibri" w:cs="Calibri" w:eastAsiaTheme="minorHAnsi"/>
                <w:color w:val="auto"/>
                <w:kern w:val="0"/>
                <w:sz w:val="24"/>
                <w:szCs w:val="24"/>
                <w:lang w:val="it-IT" w:eastAsia="it-IT" w:bidi="it-IT"/>
              </w:rPr>
              <w:t>: Gli studenti sono guidati in un processo di auto-riflessione che li aiuta a identificare e riconoscere i propri punti di forza e di debolezza. Attraverso attività pratiche e strumenti di valutazione, imparano a comprendere meglio chi sono, quali sono le loro passioni e come queste possano influenzare le loro scelte future. Questo processo di scoperta personale è fondamentale per costruire una base solida su cui poggiare le loro aspirazioni.</w:t>
            </w:r>
          </w:p>
          <w:p>
            <w:pPr>
              <w:pStyle w:val="BodyText"/>
              <w:widowControl w:val="false"/>
              <w:suppressAutoHyphens w:val="true"/>
              <w:bidi w:val="0"/>
              <w:spacing w:before="7" w:after="0"/>
              <w:jc w:val="left"/>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r>
          </w:p>
          <w:p>
            <w:pPr>
              <w:pStyle w:val="BodyText"/>
              <w:widowControl w:val="false"/>
              <w:suppressAutoHyphens w:val="true"/>
              <w:bidi w:val="0"/>
              <w:spacing w:before="7" w:after="0"/>
              <w:jc w:val="left"/>
              <w:rPr/>
            </w:pPr>
            <w:r>
              <w:rPr>
                <w:rStyle w:val="Strong"/>
                <w:rFonts w:eastAsia="Calibri" w:cs="Calibri" w:eastAsiaTheme="minorHAnsi"/>
                <w:color w:val="auto"/>
                <w:kern w:val="0"/>
                <w:sz w:val="24"/>
                <w:szCs w:val="24"/>
                <w:lang w:val="it-IT" w:eastAsia="it-IT" w:bidi="it-IT"/>
              </w:rPr>
              <w:t>Autonomia decisionale</w:t>
            </w:r>
            <w:r>
              <w:rPr>
                <w:rFonts w:eastAsia="Calibri" w:cs="Calibri" w:eastAsiaTheme="minorHAnsi"/>
                <w:color w:val="auto"/>
                <w:kern w:val="0"/>
                <w:sz w:val="24"/>
                <w:szCs w:val="24"/>
                <w:lang w:val="it-IT" w:eastAsia="it-IT" w:bidi="it-IT"/>
              </w:rPr>
              <w:t>: La didattica orientativa fornisce agli studenti le competenze necessarie per prendere decisioni informate riguardo ai loro percorsi formativi e professionali. Attraverso simulazioni, discussioni e consulenze, gli studenti apprendono come valutare le proprie attitudini e interessi, sviluppando la capacità di scegliere in modo autonomo e responsabile.</w:t>
            </w:r>
          </w:p>
          <w:p>
            <w:pPr>
              <w:pStyle w:val="BodyText"/>
              <w:widowControl w:val="false"/>
              <w:suppressAutoHyphens w:val="true"/>
              <w:bidi w:val="0"/>
              <w:spacing w:before="7" w:after="0"/>
              <w:jc w:val="left"/>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r>
          </w:p>
          <w:p>
            <w:pPr>
              <w:pStyle w:val="BodyText"/>
              <w:widowControl w:val="false"/>
              <w:suppressAutoHyphens w:val="true"/>
              <w:bidi w:val="0"/>
              <w:spacing w:before="7" w:after="0"/>
              <w:jc w:val="left"/>
              <w:rPr/>
            </w:pPr>
            <w:r>
              <w:rPr>
                <w:rStyle w:val="Strong"/>
                <w:rFonts w:eastAsia="Calibri" w:cs="Calibri" w:eastAsiaTheme="minorHAnsi"/>
                <w:color w:val="auto"/>
                <w:kern w:val="0"/>
                <w:sz w:val="24"/>
                <w:szCs w:val="24"/>
                <w:lang w:val="it-IT" w:eastAsia="it-IT" w:bidi="it-IT"/>
              </w:rPr>
              <w:t>Flessibilità formativa</w:t>
            </w:r>
            <w:r>
              <w:rPr>
                <w:rFonts w:eastAsia="Calibri" w:cs="Calibri" w:eastAsiaTheme="minorHAnsi"/>
                <w:color w:val="auto"/>
                <w:kern w:val="0"/>
                <w:sz w:val="24"/>
                <w:szCs w:val="24"/>
                <w:lang w:val="it-IT" w:eastAsia="it-IT" w:bidi="it-IT"/>
              </w:rPr>
              <w:t>: Gli studenti sono incoraggiati a esplorare una varietà di opzioni di studio e carriera, comprendendo l'importanza di essere adattabili in un mondo del lavoro in continua evoluzione. Attraverso workshop e incontri con professionisti, gli studenti apprendono a considerare percorsi alternativi e a rimanere aperti al cambiamento, sviluppando una mentalità flessibile che li aiuterà a rispondere alle esigenze del mercato del lavoro.</w:t>
            </w:r>
          </w:p>
          <w:p>
            <w:pPr>
              <w:pStyle w:val="BodyText"/>
              <w:widowControl w:val="false"/>
              <w:suppressAutoHyphens w:val="true"/>
              <w:bidi w:val="0"/>
              <w:spacing w:before="7" w:after="0"/>
              <w:jc w:val="left"/>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r>
          </w:p>
          <w:p>
            <w:pPr>
              <w:pStyle w:val="BodyText"/>
              <w:widowControl w:val="false"/>
              <w:suppressAutoHyphens w:val="true"/>
              <w:bidi w:val="0"/>
              <w:spacing w:before="7" w:after="0"/>
              <w:jc w:val="left"/>
              <w:rPr/>
            </w:pPr>
            <w:r>
              <w:rPr>
                <w:rFonts w:eastAsia="Calibri" w:cs="Calibri" w:eastAsiaTheme="minorHAnsi"/>
                <w:b/>
                <w:bCs/>
                <w:color w:val="auto"/>
                <w:kern w:val="0"/>
                <w:sz w:val="24"/>
                <w:szCs w:val="24"/>
                <w:lang w:val="it-IT" w:eastAsia="it-IT" w:bidi="it-IT"/>
              </w:rPr>
              <w:t>Educazione alla ricerca e creatività:</w:t>
            </w:r>
            <w:r>
              <w:rPr>
                <w:rFonts w:eastAsia="Calibri" w:cs="Calibri" w:eastAsiaTheme="minorHAnsi"/>
                <w:color w:val="auto"/>
                <w:kern w:val="0"/>
                <w:sz w:val="24"/>
                <w:szCs w:val="24"/>
                <w:lang w:val="it-IT" w:eastAsia="it-IT" w:bidi="it-IT"/>
              </w:rPr>
              <w:t xml:space="preserve"> La didattica orientativa stimola gli studenti a esplorare, porre domande e cercare risposte, promuovendo una mentalità curiosa e innovativa. Attraverso progetti di ricerca e attività pratiche, gli studenti imparano a sviluppare idee originali e a pensare in modo critico, competenze essenziali per affrontare le sfide del futuro e contribuire in modo significativo alla società.</w:t>
            </w:r>
          </w:p>
          <w:p>
            <w:pPr>
              <w:pStyle w:val="BodyText"/>
              <w:widowControl w:val="false"/>
              <w:suppressAutoHyphens w:val="true"/>
              <w:bidi w:val="0"/>
              <w:spacing w:before="7" w:after="0"/>
              <w:jc w:val="left"/>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r>
          </w:p>
          <w:p>
            <w:pPr>
              <w:pStyle w:val="BodyText"/>
              <w:widowControl w:val="false"/>
              <w:suppressAutoHyphens w:val="true"/>
              <w:bidi w:val="0"/>
              <w:spacing w:before="7" w:after="0"/>
              <w:jc w:val="left"/>
              <w:rPr/>
            </w:pPr>
            <w:r>
              <w:rPr>
                <w:rFonts w:eastAsia="Calibri" w:cs="Calibri" w:eastAsiaTheme="minorHAnsi"/>
                <w:b/>
                <w:bCs/>
                <w:color w:val="auto"/>
                <w:kern w:val="0"/>
                <w:sz w:val="24"/>
                <w:szCs w:val="24"/>
                <w:lang w:val="it-IT" w:eastAsia="it-IT" w:bidi="it-IT"/>
              </w:rPr>
              <w:t>Socializzazione:</w:t>
            </w:r>
            <w:r>
              <w:rPr>
                <w:rFonts w:eastAsia="Calibri" w:cs="Calibri" w:eastAsiaTheme="minorHAnsi"/>
                <w:color w:val="auto"/>
                <w:kern w:val="0"/>
                <w:sz w:val="24"/>
                <w:szCs w:val="24"/>
                <w:lang w:val="it-IT" w:eastAsia="it-IT" w:bidi="it-IT"/>
              </w:rPr>
              <w:t xml:space="preserve"> La socializzazione è un aspetto cruciale della didattica orientativa. Attraverso attività di gruppo, discussioni e interazioni con i pari, gli studenti imparano a comunicare efficacemente, a lavorare in team e a comprendere le diverse prospettive. Questo supporto sociale non solo contribuisce alla loro crescita personale, ma favorisce anche un ambiente di apprendimento collaborativo e inclusivo.</w:t>
            </w:r>
          </w:p>
        </w:tc>
        <w:tc>
          <w:tcPr>
            <w:tcW w:w="3251" w:type="dxa"/>
            <w:tcBorders/>
          </w:tcPr>
          <w:p>
            <w:pPr>
              <w:pStyle w:val="BodyText"/>
              <w:widowControl w:val="false"/>
              <w:suppressAutoHyphens w:val="true"/>
              <w:bidi w:val="0"/>
              <w:spacing w:before="7" w:after="0"/>
              <w:jc w:val="left"/>
              <w:rPr>
                <w:rFonts w:ascii="Calibri" w:hAnsi="Calibri" w:eastAsia="Calibri" w:cs="Calibri" w:asciiTheme="minorHAnsi" w:eastAsiaTheme="minorHAnsi" w:hAnsiTheme="minorHAnsi"/>
                <w:color w:val="auto"/>
                <w:kern w:val="0"/>
                <w:sz w:val="24"/>
                <w:szCs w:val="24"/>
                <w:lang w:val="it-IT" w:eastAsia="it-IT" w:bidi="it-IT"/>
              </w:rPr>
            </w:pPr>
            <w:r>
              <w:rPr>
                <w:rStyle w:val="Strong"/>
                <w:rFonts w:eastAsia="Calibri" w:cs="Calibri" w:eastAsiaTheme="minorHAnsi"/>
                <w:color w:val="auto"/>
                <w:kern w:val="0"/>
                <w:sz w:val="24"/>
                <w:szCs w:val="24"/>
                <w:lang w:val="it-IT" w:eastAsia="it-IT" w:bidi="it-IT"/>
              </w:rPr>
              <w:t>Rafforzamento delle competenze essenziali</w:t>
            </w:r>
            <w:r>
              <w:rPr>
                <w:rFonts w:eastAsia="Calibri" w:cs="Calibri" w:eastAsiaTheme="minorHAnsi"/>
                <w:color w:val="auto"/>
                <w:kern w:val="0"/>
                <w:sz w:val="24"/>
                <w:szCs w:val="24"/>
                <w:lang w:val="it-IT" w:eastAsia="it-IT" w:bidi="it-IT"/>
              </w:rPr>
              <w:t>: Attraverso la didattica orientativa, gli studenti hanno l'opportunità di acquisire competenze fondamentali per il loro futuro, come la comunicazione efficace, la competenza digitale, l'abilità di apprendere in modo autonomo e le competenze sociali e civiche. Queste competenze li preparano per il mondo scolastico e li equipaggiano anche per affrontare le sfide della vita al di fuori della scuola, rendendoli cittadini attivi e responsabili.</w:t>
            </w:r>
          </w:p>
          <w:p>
            <w:pPr>
              <w:pStyle w:val="BodyText"/>
              <w:widowControl w:val="false"/>
              <w:suppressAutoHyphens w:val="true"/>
              <w:bidi w:val="0"/>
              <w:spacing w:before="7" w:after="0"/>
              <w:jc w:val="left"/>
              <w:rPr>
                <w:rFonts w:ascii="Calibri" w:hAnsi="Calibri" w:eastAsia="Calibri" w:cs="Calibri" w:asciiTheme="minorHAnsi" w:eastAsiaTheme="minorHAnsi" w:hAnsiTheme="minorHAnsi"/>
                <w:color w:val="auto"/>
                <w:kern w:val="0"/>
                <w:sz w:val="24"/>
                <w:szCs w:val="24"/>
                <w:lang w:val="it-IT" w:eastAsia="it-IT" w:bidi="it-IT"/>
              </w:rPr>
            </w:pPr>
            <w:r>
              <w:rPr>
                <w:rFonts w:eastAsia="Calibri" w:cs="Calibri" w:eastAsiaTheme="minorHAnsi"/>
                <w:color w:val="auto"/>
                <w:kern w:val="0"/>
                <w:sz w:val="24"/>
                <w:szCs w:val="24"/>
                <w:lang w:val="it-IT" w:eastAsia="it-IT" w:bidi="it-IT"/>
              </w:rPr>
            </w:r>
          </w:p>
          <w:p>
            <w:pPr>
              <w:pStyle w:val="BodyText"/>
              <w:widowControl w:val="false"/>
              <w:suppressAutoHyphens w:val="true"/>
              <w:bidi w:val="0"/>
              <w:spacing w:before="7" w:after="0"/>
              <w:jc w:val="left"/>
              <w:rPr>
                <w:rFonts w:ascii="Calibri" w:hAnsi="Calibri" w:eastAsia="Calibri" w:cs="Calibri" w:asciiTheme="minorHAnsi" w:eastAsiaTheme="minorHAnsi" w:hAnsiTheme="minorHAnsi"/>
                <w:color w:val="auto"/>
                <w:kern w:val="0"/>
                <w:sz w:val="24"/>
                <w:szCs w:val="24"/>
                <w:lang w:val="it-IT" w:eastAsia="it-IT" w:bidi="it-IT"/>
              </w:rPr>
            </w:pPr>
            <w:r>
              <w:rPr>
                <w:rStyle w:val="Strong"/>
                <w:rFonts w:eastAsia="Calibri" w:cs="Calibri" w:eastAsiaTheme="minorHAnsi"/>
                <w:color w:val="auto"/>
                <w:kern w:val="0"/>
                <w:sz w:val="24"/>
                <w:szCs w:val="24"/>
                <w:lang w:val="it-IT" w:eastAsia="it-IT" w:bidi="it-IT"/>
              </w:rPr>
              <w:t>Sviluppo dell’autonomia decisionale</w:t>
            </w:r>
            <w:r>
              <w:rPr>
                <w:rFonts w:eastAsia="Calibri" w:cs="Calibri" w:eastAsiaTheme="minorHAnsi"/>
                <w:color w:val="auto"/>
                <w:kern w:val="0"/>
                <w:sz w:val="24"/>
                <w:szCs w:val="24"/>
                <w:lang w:val="it-IT" w:eastAsia="it-IT" w:bidi="it-IT"/>
              </w:rPr>
              <w:t>: La didattica orientativa non si limita a fornire informazioni, ma si concentra anche sullo sviluppo di strumenti e strategie che consentano agli studenti di prendere decisioni informate riguardo ai loro percorsi futuri. Attraverso attività pratiche e simulazioni, gli studenti imparano a valutare le proprie opzioni, a considerare le conseguenze delle loro scelte e a sviluppare un approccio proattivo nella pianificazione del loro futuro.</w:t>
            </w:r>
          </w:p>
        </w:tc>
      </w:tr>
    </w:tbl>
    <w:p>
      <w:pPr>
        <w:pStyle w:val="Normal"/>
        <w:widowControl w:val="false"/>
        <w:bidi w:val="0"/>
        <w:spacing w:before="7" w:after="0"/>
        <w:jc w:val="left"/>
        <w:rPr>
          <w:rFonts w:ascii="Calibri" w:hAnsi="Calibri" w:eastAsia="Calibri" w:cs="Calibri"/>
          <w:sz w:val="24"/>
          <w:szCs w:val="24"/>
          <w:lang w:val="it-IT" w:eastAsia="it-IT" w:bidi="it-IT"/>
        </w:rPr>
      </w:pPr>
      <w:r>
        <w:rPr>
          <w:rFonts w:eastAsia="Calibri" w:cs="Calibri"/>
          <w:sz w:val="24"/>
          <w:szCs w:val="24"/>
          <w:lang w:val="it-IT" w:eastAsia="it-IT" w:bidi="it-IT"/>
        </w:rPr>
      </w:r>
    </w:p>
    <w:p>
      <w:pPr>
        <w:pStyle w:val="BodyText"/>
        <w:shd w:val="clear" w:color="auto" w:fill="DBE5F1" w:themeFill="accent1" w:themeFillTint="33"/>
        <w:spacing w:before="7" w:after="0"/>
        <w:jc w:val="center"/>
        <w:rPr>
          <w:sz w:val="56"/>
          <w:szCs w:val="56"/>
        </w:rPr>
      </w:pPr>
      <w:r>
        <w:rPr>
          <w:sz w:val="56"/>
          <w:szCs w:val="56"/>
        </w:rPr>
        <w:t>DURATA</w:t>
      </w:r>
    </w:p>
    <w:p>
      <w:pPr>
        <w:pStyle w:val="BodyText"/>
        <w:spacing w:before="7" w:after="0"/>
        <w:rPr>
          <w:sz w:val="36"/>
          <w:szCs w:val="36"/>
        </w:rPr>
      </w:pPr>
      <w:r>
        <w:rPr>
          <w:sz w:val="36"/>
          <w:szCs w:val="36"/>
        </w:rPr>
      </w:r>
    </w:p>
    <w:p>
      <w:pPr>
        <w:pStyle w:val="BodyText"/>
        <w:spacing w:before="7" w:after="0"/>
        <w:rPr>
          <w:sz w:val="36"/>
          <w:szCs w:val="36"/>
        </w:rPr>
      </w:pPr>
      <w:r>
        <w:fldChar w:fldCharType="begin">
          <w:ffData>
            <w:name w:val="Controllo1"/>
            <w:enabled/>
            <w:calcOnExit w:val="0"/>
            <w:checkBox>
              <w:sizeAuto/>
            </w:checkBox>
          </w:ffData>
        </w:fldChar>
      </w:r>
      <w:r>
        <w:rPr>
          <w:sz w:val="36"/>
          <w:szCs w:val="36"/>
        </w:rPr>
        <w:instrText xml:space="preserve"> FORMCHECKBOX </w:instrText>
      </w:r>
      <w:r>
        <w:rPr>
          <w:sz w:val="36"/>
          <w:szCs w:val="36"/>
        </w:rPr>
        <w:fldChar w:fldCharType="separate"/>
      </w:r>
      <w:bookmarkStart w:id="0" w:name="Controllo1"/>
      <w:bookmarkStart w:id="1" w:name="Controllo1"/>
      <w:bookmarkEnd w:id="1"/>
      <w:r>
        <w:rPr>
          <w:sz w:val="36"/>
          <w:szCs w:val="36"/>
        </w:rPr>
      </w:r>
      <w:r>
        <w:rPr>
          <w:sz w:val="36"/>
          <w:szCs w:val="36"/>
        </w:rPr>
        <w:fldChar w:fldCharType="end"/>
      </w:r>
      <w:bookmarkStart w:id="2" w:name="Copia_Copia_Controllo1_1_1"/>
      <w:bookmarkStart w:id="3" w:name="Copia_Copia_Copia_Controllo1_1_1_1"/>
      <w:bookmarkStart w:id="4" w:name="Copia_Controllo1_1"/>
      <w:bookmarkStart w:id="5" w:name="Copia_Copia_Copia_Controllo1_1_1_1"/>
      <w:bookmarkStart w:id="6" w:name="Copia_Copia_Controllo1_1_1"/>
      <w:bookmarkStart w:id="7" w:name="Copia_Controllo1_1"/>
      <w:bookmarkEnd w:id="2"/>
      <w:bookmarkEnd w:id="3"/>
      <w:bookmarkEnd w:id="4"/>
      <w:bookmarkEnd w:id="5"/>
      <w:bookmarkEnd w:id="6"/>
      <w:bookmarkEnd w:id="7"/>
      <w:r>
        <w:rPr>
          <w:sz w:val="36"/>
          <w:szCs w:val="36"/>
        </w:rPr>
        <w:t xml:space="preserve"> ANNUALE</w:t>
      </w:r>
    </w:p>
    <w:p>
      <w:pPr>
        <w:pStyle w:val="BodyText"/>
        <w:spacing w:before="7" w:after="0"/>
        <w:rPr>
          <w:sz w:val="36"/>
          <w:szCs w:val="36"/>
        </w:rPr>
      </w:pPr>
      <w:r>
        <w:fldChar w:fldCharType="begin">
          <w:ffData>
            <w:name w:val="Bookmark"/>
            <w:enabled/>
            <w:calcOnExit w:val="0"/>
            <w:checkBox>
              <w:sizeAuto/>
            </w:checkBox>
          </w:ffData>
        </w:fldChar>
      </w:r>
      <w:r>
        <w:rPr>
          <w:sz w:val="36"/>
          <w:szCs w:val="36"/>
        </w:rPr>
        <w:instrText xml:space="preserve"> FORMCHECKBOX </w:instrText>
      </w:r>
      <w:r>
        <w:rPr>
          <w:sz w:val="36"/>
          <w:szCs w:val="36"/>
        </w:rPr>
        <w:fldChar w:fldCharType="separate"/>
      </w:r>
      <w:bookmarkStart w:id="8" w:name="Bookmark"/>
      <w:bookmarkStart w:id="9" w:name="Bookmark"/>
      <w:bookmarkEnd w:id="9"/>
      <w:r>
        <w:rPr>
          <w:sz w:val="36"/>
          <w:szCs w:val="36"/>
        </w:rPr>
      </w:r>
      <w:r>
        <w:rPr>
          <w:sz w:val="36"/>
          <w:szCs w:val="36"/>
        </w:rPr>
        <w:fldChar w:fldCharType="end"/>
      </w:r>
      <w:bookmarkStart w:id="10" w:name="_Hlk184210182"/>
      <w:bookmarkStart w:id="11" w:name="Copia_Copia_Bookmark_1_1"/>
      <w:bookmarkStart w:id="12" w:name="Copia_Copia_Copia_Bookmark_1_1_1"/>
      <w:bookmarkStart w:id="13" w:name="Copia_Bookmark_1"/>
      <w:bookmarkStart w:id="14" w:name="Copia_Copia_Bookmark_1_1"/>
      <w:bookmarkStart w:id="15" w:name="Copia_Bookmark_1"/>
      <w:bookmarkEnd w:id="11"/>
      <w:bookmarkEnd w:id="12"/>
      <w:bookmarkEnd w:id="13"/>
      <w:bookmarkEnd w:id="14"/>
      <w:bookmarkEnd w:id="15"/>
      <w:r>
        <w:rPr>
          <w:sz w:val="36"/>
          <w:szCs w:val="36"/>
        </w:rPr>
        <w:t xml:space="preserve"> BIENNALE</w:t>
      </w:r>
      <w:bookmarkEnd w:id="10"/>
    </w:p>
    <w:p>
      <w:pPr>
        <w:pStyle w:val="BodyText"/>
        <w:spacing w:before="7" w:after="0"/>
        <w:rPr>
          <w:sz w:val="36"/>
          <w:szCs w:val="36"/>
        </w:rPr>
      </w:pPr>
      <w:r>
        <w:fldChar w:fldCharType="begin">
          <w:ffData>
            <w:name w:val="Copia Copia Bookmark 1 1"/>
            <w:enabled/>
            <w:calcOnExit w:val="0"/>
            <w:checkBox>
              <w:sizeAuto/>
              <w:checked/>
            </w:checkBox>
          </w:ffData>
        </w:fldChar>
      </w:r>
      <w:r>
        <w:rPr>
          <w:sz w:val="36"/>
          <w:szCs w:val="36"/>
        </w:rPr>
        <w:instrText xml:space="preserve"> FORMCHECKBOX </w:instrText>
      </w:r>
      <w:r>
        <w:rPr>
          <w:sz w:val="36"/>
          <w:szCs w:val="36"/>
        </w:rPr>
        <w:fldChar w:fldCharType="separate"/>
      </w:r>
      <w:bookmarkStart w:id="16" w:name="Copia_Copia_Bookmark_1_1"/>
      <w:bookmarkStart w:id="17" w:name="Copia_Copia_Bookmark_1_1"/>
      <w:bookmarkEnd w:id="17"/>
      <w:r>
        <w:rPr>
          <w:sz w:val="36"/>
          <w:szCs w:val="36"/>
        </w:rPr>
      </w:r>
      <w:r>
        <w:rPr>
          <w:sz w:val="36"/>
          <w:szCs w:val="36"/>
        </w:rPr>
        <w:fldChar w:fldCharType="end"/>
      </w:r>
      <w:bookmarkStart w:id="18" w:name="Copia_Copia_Copia_Copia_Bookmark_1_1_1_1"/>
      <w:bookmarkStart w:id="19" w:name="Copia_Copia_Copia_Copia_Bookmark_1_1_2_1"/>
      <w:bookmarkStart w:id="20" w:name="Copia_Copia_Copia_Bookmark_1_1_1"/>
      <w:bookmarkStart w:id="21" w:name="Copia_Copia_Copia_Bookmark_1_1_2"/>
      <w:bookmarkStart w:id="22" w:name="Copia_Copia_Copia_Bookmark_1_1_2"/>
      <w:bookmarkEnd w:id="18"/>
      <w:bookmarkEnd w:id="19"/>
      <w:bookmarkEnd w:id="20"/>
      <w:bookmarkEnd w:id="21"/>
      <w:bookmarkEnd w:id="22"/>
      <w:r>
        <w:rPr>
          <w:sz w:val="36"/>
          <w:szCs w:val="36"/>
        </w:rPr>
        <w:t xml:space="preserve"> TRIENNALE</w:t>
      </w:r>
    </w:p>
    <w:p>
      <w:pPr>
        <w:pStyle w:val="BodyText"/>
        <w:spacing w:before="7" w:after="0"/>
        <w:rPr>
          <w:sz w:val="36"/>
          <w:szCs w:val="36"/>
        </w:rPr>
      </w:pPr>
      <w:r>
        <w:fldChar w:fldCharType="begin">
          <w:ffData>
            <w:name w:val="Controllo2"/>
            <w:enabled/>
            <w:calcOnExit w:val="0"/>
            <w:checkBox>
              <w:sizeAuto/>
            </w:checkBox>
          </w:ffData>
        </w:fldChar>
      </w:r>
      <w:r>
        <w:rPr>
          <w:sz w:val="36"/>
          <w:szCs w:val="36"/>
        </w:rPr>
        <w:instrText xml:space="preserve"> FORMCHECKBOX </w:instrText>
      </w:r>
      <w:r>
        <w:rPr>
          <w:sz w:val="36"/>
          <w:szCs w:val="36"/>
        </w:rPr>
        <w:fldChar w:fldCharType="separate"/>
      </w:r>
      <w:bookmarkStart w:id="23" w:name="Controllo2"/>
      <w:bookmarkStart w:id="24" w:name="Controllo2"/>
      <w:bookmarkEnd w:id="24"/>
      <w:r>
        <w:rPr>
          <w:sz w:val="36"/>
          <w:szCs w:val="36"/>
        </w:rPr>
      </w:r>
      <w:r>
        <w:rPr>
          <w:sz w:val="36"/>
          <w:szCs w:val="36"/>
        </w:rPr>
        <w:fldChar w:fldCharType="end"/>
      </w:r>
      <w:bookmarkStart w:id="25" w:name="Copia_Copia_Controllo2_1_1"/>
      <w:bookmarkStart w:id="26" w:name="Copia_Copia_Copia_Controllo2_1_1_1"/>
      <w:bookmarkStart w:id="27" w:name="Copia_Controllo2_1"/>
      <w:bookmarkStart w:id="28" w:name="Copia_Copia_Copia_Controllo2_1_1_1"/>
      <w:bookmarkStart w:id="29" w:name="Copia_Copia_Controllo2_1_1"/>
      <w:bookmarkStart w:id="30" w:name="Copia_Controllo2_1"/>
      <w:bookmarkEnd w:id="25"/>
      <w:bookmarkEnd w:id="26"/>
      <w:bookmarkEnd w:id="27"/>
      <w:bookmarkEnd w:id="28"/>
      <w:bookmarkEnd w:id="29"/>
      <w:bookmarkEnd w:id="30"/>
      <w:r>
        <w:rPr>
          <w:sz w:val="36"/>
          <w:szCs w:val="36"/>
        </w:rPr>
        <w:t xml:space="preserve"> PRIMO PERIODO DIDATTICO</w:t>
      </w:r>
    </w:p>
    <w:p>
      <w:pPr>
        <w:pStyle w:val="BodyText"/>
        <w:spacing w:before="7" w:after="0"/>
        <w:rPr>
          <w:sz w:val="36"/>
          <w:szCs w:val="36"/>
        </w:rPr>
      </w:pPr>
      <w:r>
        <w:fldChar w:fldCharType="begin">
          <w:ffData>
            <w:name w:val="Controllo3"/>
            <w:enabled/>
            <w:calcOnExit w:val="0"/>
            <w:checkBox>
              <w:sizeAuto/>
            </w:checkBox>
          </w:ffData>
        </w:fldChar>
      </w:r>
      <w:r>
        <w:rPr>
          <w:sz w:val="36"/>
          <w:szCs w:val="36"/>
        </w:rPr>
        <w:instrText xml:space="preserve"> FORMCHECKBOX </w:instrText>
      </w:r>
      <w:r>
        <w:rPr>
          <w:sz w:val="36"/>
          <w:szCs w:val="36"/>
        </w:rPr>
        <w:fldChar w:fldCharType="separate"/>
      </w:r>
      <w:bookmarkStart w:id="31" w:name="Controllo3"/>
      <w:bookmarkStart w:id="32" w:name="Controllo3"/>
      <w:bookmarkEnd w:id="32"/>
      <w:r>
        <w:rPr>
          <w:sz w:val="36"/>
          <w:szCs w:val="36"/>
        </w:rPr>
      </w:r>
      <w:r>
        <w:rPr>
          <w:sz w:val="36"/>
          <w:szCs w:val="36"/>
        </w:rPr>
        <w:fldChar w:fldCharType="end"/>
      </w:r>
      <w:bookmarkStart w:id="33" w:name="Copia_Copia_Controllo3_1_1"/>
      <w:bookmarkStart w:id="34" w:name="Copia_Copia_Copia_Controllo3_1_1_1"/>
      <w:bookmarkStart w:id="35" w:name="Copia_Controllo3_1"/>
      <w:bookmarkStart w:id="36" w:name="Copia_Copia_Copia_Controllo3_1_1_1"/>
      <w:bookmarkStart w:id="37" w:name="Copia_Copia_Controllo3_1_1"/>
      <w:bookmarkStart w:id="38" w:name="Copia_Controllo3_1"/>
      <w:bookmarkEnd w:id="33"/>
      <w:bookmarkEnd w:id="34"/>
      <w:bookmarkEnd w:id="35"/>
      <w:bookmarkEnd w:id="36"/>
      <w:bookmarkEnd w:id="37"/>
      <w:bookmarkEnd w:id="38"/>
      <w:r>
        <w:rPr>
          <w:sz w:val="36"/>
          <w:szCs w:val="36"/>
        </w:rPr>
        <w:t xml:space="preserve"> SECONDO PERIODO DIDATTICO</w:t>
      </w:r>
    </w:p>
    <w:p>
      <w:pPr>
        <w:pStyle w:val="BodyText"/>
        <w:spacing w:before="7" w:after="0"/>
        <w:rPr>
          <w:sz w:val="36"/>
          <w:szCs w:val="36"/>
        </w:rPr>
      </w:pPr>
      <w:r>
        <w:rPr/>
      </w:r>
    </w:p>
    <w:p>
      <w:pPr>
        <w:pStyle w:val="BodyText"/>
        <w:shd w:val="clear" w:color="auto" w:fill="DBE5F1" w:themeFill="accent1" w:themeFillTint="33"/>
        <w:spacing w:before="7" w:after="0"/>
        <w:jc w:val="center"/>
        <w:rPr>
          <w:sz w:val="56"/>
          <w:szCs w:val="56"/>
        </w:rPr>
      </w:pPr>
      <w:r>
        <w:rPr>
          <w:sz w:val="56"/>
          <w:szCs w:val="56"/>
        </w:rPr>
        <w:t>VALUTAZIONE</w:t>
      </w:r>
    </w:p>
    <w:p>
      <w:pPr>
        <w:pStyle w:val="BodyText"/>
        <w:spacing w:before="7" w:after="0"/>
        <w:rPr>
          <w:sz w:val="24"/>
          <w:szCs w:val="24"/>
        </w:rPr>
      </w:pPr>
      <w:r>
        <w:rPr>
          <w:sz w:val="24"/>
          <w:szCs w:val="24"/>
        </w:rPr>
      </w:r>
    </w:p>
    <w:p>
      <w:pPr>
        <w:pStyle w:val="BodyText"/>
        <w:widowControl w:val="false"/>
        <w:bidi w:val="0"/>
        <w:spacing w:before="7" w:after="0"/>
        <w:jc w:val="both"/>
        <w:rPr/>
      </w:pPr>
      <w:r>
        <w:rPr>
          <w:rFonts w:eastAsia="Calibri" w:cs="Calibri"/>
          <w:sz w:val="24"/>
          <w:szCs w:val="24"/>
          <w:lang w:val="it-IT" w:eastAsia="it-IT" w:bidi="it-IT"/>
        </w:rPr>
        <w:t>Verrà istituito un sistema di monitoraggio e valutazione volto a garantire l'efficacia delle iniziative proposte. Questo sistema permetterà di raccogliere feedback da studenti e famiglie, facilitando così l'identificazione di aree di miglioramento e l'adozione di eventuali correttivi necessari. Le griglie di valutazione utilizzate saranno quelle specifiche delle discipline curricolari, applicate quando le ore di didattica orientativa si riferiscono a tali ambiti. In questo modo, si garantirà una valutazione coerente e pertinente rispetto agli obiettivi formativi di ciascuna disciplina, assicurando che le attività di orientamento siano integrate in modo efficace nel percorso educativo degli studenti.</w:t>
      </w:r>
    </w:p>
    <w:p>
      <w:pPr>
        <w:pStyle w:val="BodyText"/>
        <w:spacing w:before="7" w:after="0"/>
        <w:rPr>
          <w:sz w:val="40"/>
          <w:szCs w:val="40"/>
        </w:rPr>
      </w:pPr>
      <w:r>
        <w:rPr>
          <w:sz w:val="40"/>
          <w:szCs w:val="40"/>
        </w:rPr>
      </w:r>
    </w:p>
    <w:sectPr>
      <w:headerReference w:type="even" r:id="rId31"/>
      <w:headerReference w:type="default" r:id="rId32"/>
      <w:headerReference w:type="first" r:id="rId33"/>
      <w:footerReference w:type="even" r:id="rId34"/>
      <w:footerReference w:type="default" r:id="rId35"/>
      <w:footerReference w:type="first" r:id="rId36"/>
      <w:type w:val="nextPage"/>
      <w:pgSz w:w="12240" w:h="15840"/>
      <w:pgMar w:left="1259" w:right="1219" w:gutter="0" w:header="386" w:top="1701" w:footer="737" w:bottom="79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auto"/>
    <w:pitch w:val="variable"/>
  </w:font>
  <w:font w:name="Liberation Sans">
    <w:altName w:val="Arial"/>
    <w:charset w:val="00"/>
    <w:family w:val="swiss"/>
    <w:pitch w:val="variable"/>
  </w:font>
  <w:font w:name="Verdana">
    <w:charset w:val="00"/>
    <w:family w:val="roman"/>
    <w:pitch w:val="variable"/>
  </w:font>
  <w:font w:name="OpenSymbol">
    <w:altName w:val="Arial Unicode MS"/>
    <w:charset w:val="01"/>
    <w:family w:val="auto"/>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115" w:type="dxa"/>
        <w:bottom w:w="0" w:type="dxa"/>
        <w:right w:w="115" w:type="dxa"/>
      </w:tblCellMar>
      <w:tblLook w:firstRow="1" w:noVBand="1" w:lastRow="0" w:firstColumn="1" w:lastColumn="0" w:noHBand="0" w:val="04a0"/>
    </w:tblPr>
    <w:tblGrid>
      <w:gridCol w:w="4886"/>
      <w:gridCol w:w="4875"/>
    </w:tblGrid>
    <w:tr>
      <w:trPr>
        <w:trHeight w:val="115" w:hRule="exact"/>
      </w:trPr>
      <w:tc>
        <w:tcPr>
          <w:tcW w:w="4886" w:type="dxa"/>
          <w:tcBorders/>
          <w:shd w:color="auto" w:fill="4F81BD" w:themeFill="accent1" w:val="clear"/>
        </w:tcPr>
        <w:p>
          <w:pPr>
            <w:pStyle w:val="Header"/>
            <w:rPr>
              <w:caps/>
              <w:sz w:val="18"/>
            </w:rPr>
          </w:pPr>
          <w:r>
            <w:rPr>
              <w:caps/>
              <w:sz w:val="18"/>
            </w:rPr>
          </w:r>
        </w:p>
      </w:tc>
      <w:tc>
        <w:tcPr>
          <w:tcW w:w="4875" w:type="dxa"/>
          <w:tcBorders/>
          <w:shd w:color="auto" w:fill="4F81BD" w:themeFill="accent1" w:val="clear"/>
        </w:tcPr>
        <w:p>
          <w:pPr>
            <w:pStyle w:val="Header"/>
            <w:jc w:val="right"/>
            <w:rPr>
              <w:caps/>
              <w:sz w:val="18"/>
            </w:rPr>
          </w:pPr>
          <w:r>
            <w:rPr>
              <w:caps/>
              <w:sz w:val="18"/>
            </w:rPr>
          </w:r>
        </w:p>
      </w:tc>
    </w:tr>
    <w:tr>
      <w:trPr/>
      <w:tc>
        <w:tcPr>
          <w:tcW w:w="4886" w:type="dxa"/>
          <w:tcBorders/>
          <w:shd w:color="auto" w:fill="auto" w:val="clear"/>
          <w:tcMar>
            <w:top w:w="144" w:type="dxa"/>
            <w:bottom w:w="144" w:type="dxa"/>
          </w:tcMar>
          <w:vAlign w:val="center"/>
        </w:tcPr>
        <w:p>
          <w:pPr>
            <w:pStyle w:val="Footer"/>
            <w:rPr>
              <w:color w:val="C00000"/>
            </w:rPr>
          </w:pPr>
          <w:sdt>
            <w:sdtPr>
              <w:placeholder>
                <w:docPart w:val="A303EAF9613E406FBE71748D7D5887D3"/>
              </w:placeholder>
              <w:dataBinding w:prefixMappings="xmlns:ns0='http://purl.org/dc/elements/1.1/' xmlns:ns1='http://schemas.openxmlformats.org/package/2006/metadata/core-properties' " w:xpath="/ns1:coreProperties[1]/ns0:creator[1]" w:storeItemID="{6C3C8BC8-F283-45AE-878A-BAB7291924A1}"/>
              <w:alias w:val="Autore"/>
              <w:id w:val="1534151868"/>
              <w:text/>
            </w:sdtPr>
            <w:sdtContent>
              <w:r>
                <w:rPr>
                  <w:b/>
                  <w:color w:val="C00000"/>
                  <w:sz w:val="18"/>
                  <w:szCs w:val="18"/>
                </w:rPr>
              </w:r>
              <w:r>
                <w:rPr>
                  <w:b/>
                  <w:color w:val="C00000"/>
                  <w:sz w:val="18"/>
                  <w:szCs w:val="18"/>
                </w:rPr>
                <w:t>IIS EUGANEO - ESTE (PD) – PTOF</w:t>
              </w:r>
            </w:sdtContent>
          </w:sdt>
        </w:p>
      </w:tc>
      <w:tc>
        <w:tcPr>
          <w:tcW w:w="4875" w:type="dxa"/>
          <w:tcBorders/>
          <w:shd w:color="auto" w:fill="auto" w:val="clear"/>
          <w:tcMar>
            <w:top w:w="144" w:type="dxa"/>
            <w:bottom w:w="144" w:type="dxa"/>
          </w:tcMar>
          <w:vAlign w:val="center"/>
        </w:tcPr>
        <w:p>
          <w:pPr>
            <w:pStyle w:val="Footer"/>
            <w:jc w:val="right"/>
            <w:rPr>
              <w:color w:val="C00000"/>
            </w:rPr>
          </w:pPr>
          <w:r>
            <w:rPr>
              <w:b/>
              <w:bCs/>
              <w:caps/>
              <w:color w:val="C00000"/>
              <w:sz w:val="18"/>
              <w:szCs w:val="18"/>
            </w:rPr>
            <w:t xml:space="preserve">PAG. </w:t>
          </w:r>
          <w:r>
            <w:rPr>
              <w:b/>
              <w:bCs/>
              <w:caps/>
              <w:color w:val="C00000"/>
              <w:sz w:val="18"/>
              <w:szCs w:val="18"/>
            </w:rPr>
            <w:fldChar w:fldCharType="begin"/>
          </w:r>
          <w:r>
            <w:rPr>
              <w:caps/>
              <w:sz w:val="18"/>
              <w:b/>
              <w:szCs w:val="18"/>
              <w:bCs/>
              <w:color w:val="C00000"/>
            </w:rPr>
            <w:instrText xml:space="preserve"> PAGE </w:instrText>
          </w:r>
          <w:r>
            <w:rPr>
              <w:caps/>
              <w:sz w:val="18"/>
              <w:b/>
              <w:szCs w:val="18"/>
              <w:bCs/>
              <w:color w:val="C00000"/>
            </w:rPr>
            <w:fldChar w:fldCharType="separate"/>
          </w:r>
          <w:r>
            <w:rPr>
              <w:caps/>
              <w:sz w:val="18"/>
              <w:b/>
              <w:szCs w:val="18"/>
              <w:bCs/>
              <w:color w:val="C00000"/>
            </w:rPr>
            <w:t>78</w:t>
          </w:r>
          <w:r>
            <w:rPr>
              <w:caps/>
              <w:sz w:val="18"/>
              <w:b/>
              <w:szCs w:val="18"/>
              <w:bCs/>
              <w:color w:val="C00000"/>
            </w:rPr>
            <w:fldChar w:fldCharType="end"/>
          </w:r>
          <w:r>
            <w:rPr>
              <w:b/>
              <w:bCs/>
              <w:caps/>
              <w:color w:val="C00000"/>
              <w:sz w:val="18"/>
              <w:szCs w:val="18"/>
            </w:rPr>
            <w:t>/</w:t>
          </w:r>
          <w:r>
            <w:rPr>
              <w:b/>
              <w:bCs/>
              <w:caps/>
              <w:color w:val="C00000"/>
              <w:sz w:val="18"/>
              <w:szCs w:val="18"/>
            </w:rPr>
            <w:fldChar w:fldCharType="begin"/>
          </w:r>
          <w:r>
            <w:rPr>
              <w:caps/>
              <w:sz w:val="18"/>
              <w:b/>
              <w:szCs w:val="18"/>
              <w:bCs/>
              <w:color w:val="C00000"/>
            </w:rPr>
            <w:instrText xml:space="preserve"> NUMPAGES </w:instrText>
          </w:r>
          <w:r>
            <w:rPr>
              <w:caps/>
              <w:sz w:val="18"/>
              <w:b/>
              <w:szCs w:val="18"/>
              <w:bCs/>
              <w:color w:val="C00000"/>
            </w:rPr>
            <w:fldChar w:fldCharType="separate"/>
          </w:r>
          <w:r>
            <w:rPr>
              <w:caps/>
              <w:sz w:val="18"/>
              <w:b/>
              <w:szCs w:val="18"/>
              <w:bCs/>
              <w:color w:val="C00000"/>
            </w:rPr>
            <w:t>80</w:t>
          </w:r>
          <w:r>
            <w:rPr>
              <w:caps/>
              <w:sz w:val="18"/>
              <w:b/>
              <w:szCs w:val="18"/>
              <w:bCs/>
              <w:color w:val="C00000"/>
            </w:rPr>
            <w:fldChar w:fldCharType="end"/>
          </w:r>
        </w:p>
      </w:tc>
    </w:tr>
  </w:tbl>
  <w:p>
    <w:pPr>
      <w:pStyle w:val="BodyText"/>
      <w:spacing w:lineRule="atLeast" w:line="0"/>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115" w:type="dxa"/>
        <w:bottom w:w="0" w:type="dxa"/>
        <w:right w:w="115" w:type="dxa"/>
      </w:tblCellMar>
      <w:tblLook w:firstRow="1" w:noVBand="1" w:lastRow="0" w:firstColumn="1" w:lastColumn="0" w:noHBand="0" w:val="04a0"/>
    </w:tblPr>
    <w:tblGrid>
      <w:gridCol w:w="4886"/>
      <w:gridCol w:w="4875"/>
    </w:tblGrid>
    <w:tr>
      <w:trPr>
        <w:trHeight w:val="115" w:hRule="exact"/>
      </w:trPr>
      <w:tc>
        <w:tcPr>
          <w:tcW w:w="4886" w:type="dxa"/>
          <w:tcBorders/>
          <w:shd w:color="auto" w:fill="4F81BD" w:themeFill="accent1" w:val="clear"/>
        </w:tcPr>
        <w:p>
          <w:pPr>
            <w:pStyle w:val="Header"/>
            <w:rPr>
              <w:caps/>
              <w:sz w:val="18"/>
            </w:rPr>
          </w:pPr>
          <w:r>
            <w:rPr>
              <w:caps/>
              <w:sz w:val="18"/>
            </w:rPr>
          </w:r>
        </w:p>
      </w:tc>
      <w:tc>
        <w:tcPr>
          <w:tcW w:w="4875" w:type="dxa"/>
          <w:tcBorders/>
          <w:shd w:color="auto" w:fill="4F81BD" w:themeFill="accent1" w:val="clear"/>
        </w:tcPr>
        <w:p>
          <w:pPr>
            <w:pStyle w:val="Header"/>
            <w:jc w:val="right"/>
            <w:rPr>
              <w:caps/>
              <w:sz w:val="18"/>
            </w:rPr>
          </w:pPr>
          <w:r>
            <w:rPr>
              <w:caps/>
              <w:sz w:val="18"/>
            </w:rPr>
          </w:r>
        </w:p>
      </w:tc>
    </w:tr>
    <w:tr>
      <w:trPr/>
      <w:tc>
        <w:tcPr>
          <w:tcW w:w="4886" w:type="dxa"/>
          <w:tcBorders/>
          <w:shd w:color="auto" w:fill="auto" w:val="clear"/>
          <w:tcMar>
            <w:top w:w="144" w:type="dxa"/>
            <w:bottom w:w="144" w:type="dxa"/>
          </w:tcMar>
          <w:vAlign w:val="center"/>
        </w:tcPr>
        <w:p>
          <w:pPr>
            <w:pStyle w:val="Footer"/>
            <w:rPr>
              <w:color w:val="C00000"/>
            </w:rPr>
          </w:pPr>
          <w:sdt>
            <w:sdtPr>
              <w:placeholder>
                <w:docPart w:val="A303EAF9613E406FBE71748D7D5887D3"/>
              </w:placeholder>
              <w:dataBinding w:prefixMappings="xmlns:ns0='http://purl.org/dc/elements/1.1/' xmlns:ns1='http://schemas.openxmlformats.org/package/2006/metadata/core-properties' " w:xpath="/ns1:coreProperties[1]/ns0:creator[1]" w:storeItemID="{6C3C8BC8-F283-45AE-878A-BAB7291924A1}"/>
              <w:alias w:val="Autore"/>
              <w:id w:val="1534151868"/>
              <w:text/>
            </w:sdtPr>
            <w:sdtContent>
              <w:r>
                <w:rPr>
                  <w:b/>
                  <w:color w:val="C00000"/>
                  <w:sz w:val="18"/>
                  <w:szCs w:val="18"/>
                </w:rPr>
              </w:r>
              <w:r>
                <w:rPr>
                  <w:b/>
                  <w:color w:val="C00000"/>
                  <w:sz w:val="18"/>
                  <w:szCs w:val="18"/>
                </w:rPr>
                <w:t>IIS EUGANEO - ESTE (PD) – PTOF</w:t>
              </w:r>
            </w:sdtContent>
          </w:sdt>
        </w:p>
      </w:tc>
      <w:tc>
        <w:tcPr>
          <w:tcW w:w="4875" w:type="dxa"/>
          <w:tcBorders/>
          <w:shd w:color="auto" w:fill="auto" w:val="clear"/>
          <w:tcMar>
            <w:top w:w="144" w:type="dxa"/>
            <w:bottom w:w="144" w:type="dxa"/>
          </w:tcMar>
          <w:vAlign w:val="center"/>
        </w:tcPr>
        <w:p>
          <w:pPr>
            <w:pStyle w:val="Footer"/>
            <w:jc w:val="right"/>
            <w:rPr>
              <w:color w:val="C00000"/>
            </w:rPr>
          </w:pPr>
          <w:r>
            <w:rPr>
              <w:b/>
              <w:bCs/>
              <w:caps/>
              <w:color w:val="C00000"/>
              <w:sz w:val="18"/>
              <w:szCs w:val="18"/>
            </w:rPr>
            <w:t xml:space="preserve">PAG. </w:t>
          </w:r>
          <w:r>
            <w:rPr>
              <w:b/>
              <w:bCs/>
              <w:caps/>
              <w:color w:val="C00000"/>
              <w:sz w:val="18"/>
              <w:szCs w:val="18"/>
            </w:rPr>
            <w:fldChar w:fldCharType="begin"/>
          </w:r>
          <w:r>
            <w:rPr>
              <w:caps/>
              <w:sz w:val="18"/>
              <w:b/>
              <w:szCs w:val="18"/>
              <w:bCs/>
              <w:color w:val="C00000"/>
            </w:rPr>
            <w:instrText xml:space="preserve"> PAGE </w:instrText>
          </w:r>
          <w:r>
            <w:rPr>
              <w:caps/>
              <w:sz w:val="18"/>
              <w:b/>
              <w:szCs w:val="18"/>
              <w:bCs/>
              <w:color w:val="C00000"/>
            </w:rPr>
            <w:fldChar w:fldCharType="separate"/>
          </w:r>
          <w:r>
            <w:rPr>
              <w:caps/>
              <w:sz w:val="18"/>
              <w:b/>
              <w:szCs w:val="18"/>
              <w:bCs/>
              <w:color w:val="C00000"/>
            </w:rPr>
            <w:t>78</w:t>
          </w:r>
          <w:r>
            <w:rPr>
              <w:caps/>
              <w:sz w:val="18"/>
              <w:b/>
              <w:szCs w:val="18"/>
              <w:bCs/>
              <w:color w:val="C00000"/>
            </w:rPr>
            <w:fldChar w:fldCharType="end"/>
          </w:r>
          <w:r>
            <w:rPr>
              <w:b/>
              <w:bCs/>
              <w:caps/>
              <w:color w:val="C00000"/>
              <w:sz w:val="18"/>
              <w:szCs w:val="18"/>
            </w:rPr>
            <w:t>/</w:t>
          </w:r>
          <w:r>
            <w:rPr>
              <w:b/>
              <w:bCs/>
              <w:caps/>
              <w:color w:val="C00000"/>
              <w:sz w:val="18"/>
              <w:szCs w:val="18"/>
            </w:rPr>
            <w:fldChar w:fldCharType="begin"/>
          </w:r>
          <w:r>
            <w:rPr>
              <w:caps/>
              <w:sz w:val="18"/>
              <w:b/>
              <w:szCs w:val="18"/>
              <w:bCs/>
              <w:color w:val="C00000"/>
            </w:rPr>
            <w:instrText xml:space="preserve"> NUMPAGES </w:instrText>
          </w:r>
          <w:r>
            <w:rPr>
              <w:caps/>
              <w:sz w:val="18"/>
              <w:b/>
              <w:szCs w:val="18"/>
              <w:bCs/>
              <w:color w:val="C00000"/>
            </w:rPr>
            <w:fldChar w:fldCharType="separate"/>
          </w:r>
          <w:r>
            <w:rPr>
              <w:caps/>
              <w:sz w:val="18"/>
              <w:b/>
              <w:szCs w:val="18"/>
              <w:bCs/>
              <w:color w:val="C00000"/>
            </w:rPr>
            <w:t>80</w:t>
          </w:r>
          <w:r>
            <w:rPr>
              <w:caps/>
              <w:sz w:val="18"/>
              <w:b/>
              <w:szCs w:val="18"/>
              <w:bCs/>
              <w:color w:val="C00000"/>
            </w:rPr>
            <w:fldChar w:fldCharType="end"/>
          </w:r>
        </w:p>
      </w:tc>
    </w:tr>
  </w:tbl>
  <w:p>
    <w:pPr>
      <w:pStyle w:val="BodyText"/>
      <w:spacing w:lineRule="atLeast" w:line="0"/>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w:drawing>
        <wp:anchor behindDoc="1" distT="0" distB="0" distL="114300" distR="114300" simplePos="0" locked="0" layoutInCell="0" allowOverlap="1" relativeHeight="81">
          <wp:simplePos x="0" y="0"/>
          <wp:positionH relativeFrom="page">
            <wp:posOffset>1267460</wp:posOffset>
          </wp:positionH>
          <wp:positionV relativeFrom="paragraph">
            <wp:posOffset>-95250</wp:posOffset>
          </wp:positionV>
          <wp:extent cx="5384165" cy="1165860"/>
          <wp:effectExtent l="0" t="0" r="0" b="0"/>
          <wp:wrapTopAndBottom/>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5384165" cy="1165860"/>
                  </a:xfrm>
                  <a:prstGeom prst="rect">
                    <a:avLst/>
                  </a:prstGeom>
                  <a:noFill/>
                </pic:spPr>
              </pic:pic>
            </a:graphicData>
          </a:graphic>
        </wp:anchor>
      </w:drawing>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w:drawing>
        <wp:anchor behindDoc="1" distT="0" distB="0" distL="114300" distR="114300" simplePos="0" locked="0" layoutInCell="0" allowOverlap="1" relativeHeight="81">
          <wp:simplePos x="0" y="0"/>
          <wp:positionH relativeFrom="page">
            <wp:posOffset>1267460</wp:posOffset>
          </wp:positionH>
          <wp:positionV relativeFrom="paragraph">
            <wp:posOffset>-95250</wp:posOffset>
          </wp:positionV>
          <wp:extent cx="5384165" cy="1165860"/>
          <wp:effectExtent l="0" t="0" r="0" b="0"/>
          <wp:wrapTopAndBottom/>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1"/>
                  <a:stretch>
                    <a:fillRect/>
                  </a:stretch>
                </pic:blipFill>
                <pic:spPr bwMode="auto">
                  <a:xfrm>
                    <a:off x="0" y="0"/>
                    <a:ext cx="5384165" cy="1165860"/>
                  </a:xfrm>
                  <a:prstGeom prst="rect">
                    <a:avLst/>
                  </a:prstGeom>
                  <a:noFill/>
                </pic:spPr>
              </pic:pic>
            </a:graphicData>
          </a:graphic>
        </wp:anchor>
      </w:drawing>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p>
    <w:pPr>
      <w:pStyle w:val="BodyText"/>
      <w:spacing w:lineRule="atLeast" w:line="0"/>
      <w:jc w:val="cent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0"/>
        </w:tabs>
        <w:ind w:left="834" w:hanging="359"/>
      </w:pPr>
      <w:rPr>
        <w:rFonts w:ascii="Noto Sans Symbols" w:hAnsi="Noto Sans Symbols" w:cs="Noto Sans Symbols" w:hint="default"/>
      </w:rPr>
    </w:lvl>
    <w:lvl w:ilvl="1">
      <w:start w:val="1"/>
      <w:numFmt w:val="bullet"/>
      <w:lvlText w:val="◦"/>
      <w:lvlJc w:val="left"/>
      <w:pPr>
        <w:tabs>
          <w:tab w:val="num" w:pos="0"/>
        </w:tabs>
        <w:ind w:left="1194" w:hanging="360"/>
      </w:pPr>
      <w:rPr>
        <w:rFonts w:ascii="Noto Sans Symbols" w:hAnsi="Noto Sans Symbols" w:cs="Noto Sans Symbols" w:hint="default"/>
      </w:rPr>
    </w:lvl>
    <w:lvl w:ilvl="2">
      <w:start w:val="1"/>
      <w:numFmt w:val="bullet"/>
      <w:lvlText w:val="▪"/>
      <w:lvlJc w:val="left"/>
      <w:pPr>
        <w:tabs>
          <w:tab w:val="num" w:pos="0"/>
        </w:tabs>
        <w:ind w:left="1554" w:hanging="360"/>
      </w:pPr>
      <w:rPr>
        <w:rFonts w:ascii="Noto Sans Symbols" w:hAnsi="Noto Sans Symbols" w:cs="Noto Sans Symbols" w:hint="default"/>
      </w:rPr>
    </w:lvl>
    <w:lvl w:ilvl="3">
      <w:start w:val="1"/>
      <w:numFmt w:val="bullet"/>
      <w:lvlText w:val="●"/>
      <w:lvlJc w:val="left"/>
      <w:pPr>
        <w:tabs>
          <w:tab w:val="num" w:pos="0"/>
        </w:tabs>
        <w:ind w:left="1914" w:hanging="360"/>
      </w:pPr>
      <w:rPr>
        <w:rFonts w:ascii="Noto Sans Symbols" w:hAnsi="Noto Sans Symbols" w:cs="Noto Sans Symbols" w:hint="default"/>
      </w:rPr>
    </w:lvl>
    <w:lvl w:ilvl="4">
      <w:start w:val="1"/>
      <w:numFmt w:val="bullet"/>
      <w:lvlText w:val="◦"/>
      <w:lvlJc w:val="left"/>
      <w:pPr>
        <w:tabs>
          <w:tab w:val="num" w:pos="0"/>
        </w:tabs>
        <w:ind w:left="2274" w:hanging="360"/>
      </w:pPr>
      <w:rPr>
        <w:rFonts w:ascii="Noto Sans Symbols" w:hAnsi="Noto Sans Symbols" w:cs="Noto Sans Symbols" w:hint="default"/>
      </w:rPr>
    </w:lvl>
    <w:lvl w:ilvl="5">
      <w:start w:val="1"/>
      <w:numFmt w:val="bullet"/>
      <w:lvlText w:val="▪"/>
      <w:lvlJc w:val="left"/>
      <w:pPr>
        <w:tabs>
          <w:tab w:val="num" w:pos="0"/>
        </w:tabs>
        <w:ind w:left="2634" w:hanging="360"/>
      </w:pPr>
      <w:rPr>
        <w:rFonts w:ascii="Noto Sans Symbols" w:hAnsi="Noto Sans Symbols" w:cs="Noto Sans Symbols" w:hint="default"/>
      </w:rPr>
    </w:lvl>
    <w:lvl w:ilvl="6">
      <w:start w:val="1"/>
      <w:numFmt w:val="bullet"/>
      <w:lvlText w:val="●"/>
      <w:lvlJc w:val="left"/>
      <w:pPr>
        <w:tabs>
          <w:tab w:val="num" w:pos="0"/>
        </w:tabs>
        <w:ind w:left="2994" w:hanging="360"/>
      </w:pPr>
      <w:rPr>
        <w:rFonts w:ascii="Noto Sans Symbols" w:hAnsi="Noto Sans Symbols" w:cs="Noto Sans Symbols" w:hint="default"/>
      </w:rPr>
    </w:lvl>
    <w:lvl w:ilvl="7">
      <w:start w:val="1"/>
      <w:numFmt w:val="bullet"/>
      <w:lvlText w:val="◦"/>
      <w:lvlJc w:val="left"/>
      <w:pPr>
        <w:tabs>
          <w:tab w:val="num" w:pos="0"/>
        </w:tabs>
        <w:ind w:left="3354" w:hanging="360"/>
      </w:pPr>
      <w:rPr>
        <w:rFonts w:ascii="Noto Sans Symbols" w:hAnsi="Noto Sans Symbols" w:cs="Noto Sans Symbols" w:hint="default"/>
      </w:rPr>
    </w:lvl>
    <w:lvl w:ilvl="8">
      <w:start w:val="1"/>
      <w:numFmt w:val="bullet"/>
      <w:lvlText w:val="▪"/>
      <w:lvlJc w:val="left"/>
      <w:pPr>
        <w:tabs>
          <w:tab w:val="num" w:pos="0"/>
        </w:tabs>
        <w:ind w:left="3714"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834" w:hanging="359"/>
      </w:pPr>
      <w:rPr>
        <w:rFonts w:ascii="Noto Sans Symbols" w:hAnsi="Noto Sans Symbols" w:cs="Noto Sans Symbols" w:hint="default"/>
      </w:rPr>
    </w:lvl>
    <w:lvl w:ilvl="1">
      <w:start w:val="1"/>
      <w:numFmt w:val="bullet"/>
      <w:lvlText w:val="◦"/>
      <w:lvlJc w:val="left"/>
      <w:pPr>
        <w:tabs>
          <w:tab w:val="num" w:pos="0"/>
        </w:tabs>
        <w:ind w:left="1194" w:hanging="360"/>
      </w:pPr>
      <w:rPr>
        <w:rFonts w:ascii="Noto Sans Symbols" w:hAnsi="Noto Sans Symbols" w:cs="Noto Sans Symbols" w:hint="default"/>
      </w:rPr>
    </w:lvl>
    <w:lvl w:ilvl="2">
      <w:start w:val="1"/>
      <w:numFmt w:val="bullet"/>
      <w:lvlText w:val="▪"/>
      <w:lvlJc w:val="left"/>
      <w:pPr>
        <w:tabs>
          <w:tab w:val="num" w:pos="0"/>
        </w:tabs>
        <w:ind w:left="1554" w:hanging="360"/>
      </w:pPr>
      <w:rPr>
        <w:rFonts w:ascii="Noto Sans Symbols" w:hAnsi="Noto Sans Symbols" w:cs="Noto Sans Symbols" w:hint="default"/>
      </w:rPr>
    </w:lvl>
    <w:lvl w:ilvl="3">
      <w:start w:val="1"/>
      <w:numFmt w:val="bullet"/>
      <w:lvlText w:val="●"/>
      <w:lvlJc w:val="left"/>
      <w:pPr>
        <w:tabs>
          <w:tab w:val="num" w:pos="0"/>
        </w:tabs>
        <w:ind w:left="1914" w:hanging="360"/>
      </w:pPr>
      <w:rPr>
        <w:rFonts w:ascii="Noto Sans Symbols" w:hAnsi="Noto Sans Symbols" w:cs="Noto Sans Symbols" w:hint="default"/>
      </w:rPr>
    </w:lvl>
    <w:lvl w:ilvl="4">
      <w:start w:val="1"/>
      <w:numFmt w:val="bullet"/>
      <w:lvlText w:val="◦"/>
      <w:lvlJc w:val="left"/>
      <w:pPr>
        <w:tabs>
          <w:tab w:val="num" w:pos="0"/>
        </w:tabs>
        <w:ind w:left="2274" w:hanging="360"/>
      </w:pPr>
      <w:rPr>
        <w:rFonts w:ascii="Noto Sans Symbols" w:hAnsi="Noto Sans Symbols" w:cs="Noto Sans Symbols" w:hint="default"/>
      </w:rPr>
    </w:lvl>
    <w:lvl w:ilvl="5">
      <w:start w:val="1"/>
      <w:numFmt w:val="bullet"/>
      <w:lvlText w:val="▪"/>
      <w:lvlJc w:val="left"/>
      <w:pPr>
        <w:tabs>
          <w:tab w:val="num" w:pos="0"/>
        </w:tabs>
        <w:ind w:left="2634" w:hanging="360"/>
      </w:pPr>
      <w:rPr>
        <w:rFonts w:ascii="Noto Sans Symbols" w:hAnsi="Noto Sans Symbols" w:cs="Noto Sans Symbols" w:hint="default"/>
      </w:rPr>
    </w:lvl>
    <w:lvl w:ilvl="6">
      <w:start w:val="1"/>
      <w:numFmt w:val="bullet"/>
      <w:lvlText w:val="●"/>
      <w:lvlJc w:val="left"/>
      <w:pPr>
        <w:tabs>
          <w:tab w:val="num" w:pos="0"/>
        </w:tabs>
        <w:ind w:left="2994" w:hanging="360"/>
      </w:pPr>
      <w:rPr>
        <w:rFonts w:ascii="Noto Sans Symbols" w:hAnsi="Noto Sans Symbols" w:cs="Noto Sans Symbols" w:hint="default"/>
      </w:rPr>
    </w:lvl>
    <w:lvl w:ilvl="7">
      <w:start w:val="1"/>
      <w:numFmt w:val="bullet"/>
      <w:lvlText w:val="◦"/>
      <w:lvlJc w:val="left"/>
      <w:pPr>
        <w:tabs>
          <w:tab w:val="num" w:pos="0"/>
        </w:tabs>
        <w:ind w:left="3354" w:hanging="360"/>
      </w:pPr>
      <w:rPr>
        <w:rFonts w:ascii="Noto Sans Symbols" w:hAnsi="Noto Sans Symbols" w:cs="Noto Sans Symbols" w:hint="default"/>
      </w:rPr>
    </w:lvl>
    <w:lvl w:ilvl="8">
      <w:start w:val="1"/>
      <w:numFmt w:val="bullet"/>
      <w:lvlText w:val="▪"/>
      <w:lvlJc w:val="left"/>
      <w:pPr>
        <w:tabs>
          <w:tab w:val="num" w:pos="0"/>
        </w:tabs>
        <w:ind w:left="3714" w:hanging="360"/>
      </w:pPr>
      <w:rPr>
        <w:rFonts w:ascii="Noto Sans Symbols" w:hAnsi="Noto Sans Symbols" w:cs="Noto Sans Symbols" w:hint="default"/>
      </w:rPr>
    </w:lvl>
  </w:abstractNum>
  <w:abstractNum w:abstractNumId="4">
    <w:lvl w:ilvl="0">
      <w:start w:val="1"/>
      <w:numFmt w:val="bullet"/>
      <w:lvlText w:val=""/>
      <w:lvlJc w:val="left"/>
      <w:pPr>
        <w:tabs>
          <w:tab w:val="num" w:pos="834"/>
        </w:tabs>
        <w:ind w:left="834" w:hanging="360"/>
      </w:pPr>
      <w:rPr>
        <w:rFonts w:ascii="Symbol" w:hAnsi="Symbol" w:cs="Symbol" w:hint="default"/>
      </w:rPr>
    </w:lvl>
    <w:lvl w:ilvl="1">
      <w:start w:val="1"/>
      <w:numFmt w:val="bullet"/>
      <w:lvlText w:val="◦"/>
      <w:lvlJc w:val="left"/>
      <w:pPr>
        <w:tabs>
          <w:tab w:val="num" w:pos="1194"/>
        </w:tabs>
        <w:ind w:left="1194" w:hanging="360"/>
      </w:pPr>
      <w:rPr>
        <w:rFonts w:ascii="OpenSymbol" w:hAnsi="OpenSymbol" w:cs="OpenSymbol" w:hint="default"/>
      </w:rPr>
    </w:lvl>
    <w:lvl w:ilvl="2">
      <w:start w:val="1"/>
      <w:numFmt w:val="bullet"/>
      <w:lvlText w:val="▪"/>
      <w:lvlJc w:val="left"/>
      <w:pPr>
        <w:tabs>
          <w:tab w:val="num" w:pos="1554"/>
        </w:tabs>
        <w:ind w:left="1554" w:hanging="360"/>
      </w:pPr>
      <w:rPr>
        <w:rFonts w:ascii="OpenSymbol" w:hAnsi="OpenSymbol" w:cs="OpenSymbol" w:hint="default"/>
      </w:rPr>
    </w:lvl>
    <w:lvl w:ilvl="3">
      <w:start w:val="1"/>
      <w:numFmt w:val="bullet"/>
      <w:lvlText w:val=""/>
      <w:lvlJc w:val="left"/>
      <w:pPr>
        <w:tabs>
          <w:tab w:val="num" w:pos="1914"/>
        </w:tabs>
        <w:ind w:left="1914" w:hanging="360"/>
      </w:pPr>
      <w:rPr>
        <w:rFonts w:ascii="Symbol" w:hAnsi="Symbol" w:cs="Symbol" w:hint="default"/>
      </w:rPr>
    </w:lvl>
    <w:lvl w:ilvl="4">
      <w:start w:val="1"/>
      <w:numFmt w:val="bullet"/>
      <w:lvlText w:val="◦"/>
      <w:lvlJc w:val="left"/>
      <w:pPr>
        <w:tabs>
          <w:tab w:val="num" w:pos="2274"/>
        </w:tabs>
        <w:ind w:left="2274" w:hanging="360"/>
      </w:pPr>
      <w:rPr>
        <w:rFonts w:ascii="OpenSymbol" w:hAnsi="OpenSymbol" w:cs="OpenSymbol" w:hint="default"/>
      </w:rPr>
    </w:lvl>
    <w:lvl w:ilvl="5">
      <w:start w:val="1"/>
      <w:numFmt w:val="bullet"/>
      <w:lvlText w:val="▪"/>
      <w:lvlJc w:val="left"/>
      <w:pPr>
        <w:tabs>
          <w:tab w:val="num" w:pos="2634"/>
        </w:tabs>
        <w:ind w:left="2634" w:hanging="360"/>
      </w:pPr>
      <w:rPr>
        <w:rFonts w:ascii="OpenSymbol" w:hAnsi="OpenSymbol" w:cs="OpenSymbol" w:hint="default"/>
      </w:rPr>
    </w:lvl>
    <w:lvl w:ilvl="6">
      <w:start w:val="1"/>
      <w:numFmt w:val="bullet"/>
      <w:lvlText w:val=""/>
      <w:lvlJc w:val="left"/>
      <w:pPr>
        <w:tabs>
          <w:tab w:val="num" w:pos="2994"/>
        </w:tabs>
        <w:ind w:left="2994" w:hanging="360"/>
      </w:pPr>
      <w:rPr>
        <w:rFonts w:ascii="Symbol" w:hAnsi="Symbol" w:cs="Symbol" w:hint="default"/>
      </w:rPr>
    </w:lvl>
    <w:lvl w:ilvl="7">
      <w:start w:val="1"/>
      <w:numFmt w:val="bullet"/>
      <w:lvlText w:val="◦"/>
      <w:lvlJc w:val="left"/>
      <w:pPr>
        <w:tabs>
          <w:tab w:val="num" w:pos="3354"/>
        </w:tabs>
        <w:ind w:left="3354" w:hanging="360"/>
      </w:pPr>
      <w:rPr>
        <w:rFonts w:ascii="OpenSymbol" w:hAnsi="OpenSymbol" w:cs="OpenSymbol" w:hint="default"/>
      </w:rPr>
    </w:lvl>
    <w:lvl w:ilvl="8">
      <w:start w:val="1"/>
      <w:numFmt w:val="bullet"/>
      <w:lvlText w:val="▪"/>
      <w:lvlJc w:val="left"/>
      <w:pPr>
        <w:tabs>
          <w:tab w:val="num" w:pos="3714"/>
        </w:tabs>
        <w:ind w:left="3714" w:hanging="360"/>
      </w:pPr>
      <w:rPr>
        <w:rFonts w:ascii="OpenSymbol" w:hAnsi="OpenSymbol" w:cs="OpenSymbol" w:hint="default"/>
      </w:rPr>
    </w:lvl>
  </w:abstractNum>
  <w:abstractNum w:abstractNumId="5">
    <w:lvl w:ilvl="0">
      <w:start w:val="1"/>
      <w:numFmt w:val="bullet"/>
      <w:lvlText w:val=""/>
      <w:lvlJc w:val="left"/>
      <w:pPr>
        <w:tabs>
          <w:tab w:val="num" w:pos="834"/>
        </w:tabs>
        <w:ind w:left="834" w:hanging="360"/>
      </w:pPr>
      <w:rPr>
        <w:rFonts w:ascii="Symbol" w:hAnsi="Symbol" w:cs="Symbol" w:hint="default"/>
      </w:rPr>
    </w:lvl>
    <w:lvl w:ilvl="1">
      <w:start w:val="1"/>
      <w:numFmt w:val="bullet"/>
      <w:lvlText w:val="◦"/>
      <w:lvlJc w:val="left"/>
      <w:pPr>
        <w:tabs>
          <w:tab w:val="num" w:pos="1194"/>
        </w:tabs>
        <w:ind w:left="1194" w:hanging="360"/>
      </w:pPr>
      <w:rPr>
        <w:rFonts w:ascii="OpenSymbol" w:hAnsi="OpenSymbol" w:cs="OpenSymbol" w:hint="default"/>
      </w:rPr>
    </w:lvl>
    <w:lvl w:ilvl="2">
      <w:start w:val="1"/>
      <w:numFmt w:val="bullet"/>
      <w:lvlText w:val="▪"/>
      <w:lvlJc w:val="left"/>
      <w:pPr>
        <w:tabs>
          <w:tab w:val="num" w:pos="1554"/>
        </w:tabs>
        <w:ind w:left="1554" w:hanging="360"/>
      </w:pPr>
      <w:rPr>
        <w:rFonts w:ascii="OpenSymbol" w:hAnsi="OpenSymbol" w:cs="OpenSymbol" w:hint="default"/>
      </w:rPr>
    </w:lvl>
    <w:lvl w:ilvl="3">
      <w:start w:val="1"/>
      <w:numFmt w:val="bullet"/>
      <w:lvlText w:val=""/>
      <w:lvlJc w:val="left"/>
      <w:pPr>
        <w:tabs>
          <w:tab w:val="num" w:pos="1914"/>
        </w:tabs>
        <w:ind w:left="1914" w:hanging="360"/>
      </w:pPr>
      <w:rPr>
        <w:rFonts w:ascii="Symbol" w:hAnsi="Symbol" w:cs="Symbol" w:hint="default"/>
      </w:rPr>
    </w:lvl>
    <w:lvl w:ilvl="4">
      <w:start w:val="1"/>
      <w:numFmt w:val="bullet"/>
      <w:lvlText w:val="◦"/>
      <w:lvlJc w:val="left"/>
      <w:pPr>
        <w:tabs>
          <w:tab w:val="num" w:pos="2274"/>
        </w:tabs>
        <w:ind w:left="2274" w:hanging="360"/>
      </w:pPr>
      <w:rPr>
        <w:rFonts w:ascii="OpenSymbol" w:hAnsi="OpenSymbol" w:cs="OpenSymbol" w:hint="default"/>
      </w:rPr>
    </w:lvl>
    <w:lvl w:ilvl="5">
      <w:start w:val="1"/>
      <w:numFmt w:val="bullet"/>
      <w:lvlText w:val="▪"/>
      <w:lvlJc w:val="left"/>
      <w:pPr>
        <w:tabs>
          <w:tab w:val="num" w:pos="2634"/>
        </w:tabs>
        <w:ind w:left="2634" w:hanging="360"/>
      </w:pPr>
      <w:rPr>
        <w:rFonts w:ascii="OpenSymbol" w:hAnsi="OpenSymbol" w:cs="OpenSymbol" w:hint="default"/>
      </w:rPr>
    </w:lvl>
    <w:lvl w:ilvl="6">
      <w:start w:val="1"/>
      <w:numFmt w:val="bullet"/>
      <w:lvlText w:val=""/>
      <w:lvlJc w:val="left"/>
      <w:pPr>
        <w:tabs>
          <w:tab w:val="num" w:pos="2994"/>
        </w:tabs>
        <w:ind w:left="2994" w:hanging="360"/>
      </w:pPr>
      <w:rPr>
        <w:rFonts w:ascii="Symbol" w:hAnsi="Symbol" w:cs="Symbol" w:hint="default"/>
      </w:rPr>
    </w:lvl>
    <w:lvl w:ilvl="7">
      <w:start w:val="1"/>
      <w:numFmt w:val="bullet"/>
      <w:lvlText w:val="◦"/>
      <w:lvlJc w:val="left"/>
      <w:pPr>
        <w:tabs>
          <w:tab w:val="num" w:pos="3354"/>
        </w:tabs>
        <w:ind w:left="3354" w:hanging="360"/>
      </w:pPr>
      <w:rPr>
        <w:rFonts w:ascii="OpenSymbol" w:hAnsi="OpenSymbol" w:cs="OpenSymbol" w:hint="default"/>
      </w:rPr>
    </w:lvl>
    <w:lvl w:ilvl="8">
      <w:start w:val="1"/>
      <w:numFmt w:val="bullet"/>
      <w:lvlText w:val="▪"/>
      <w:lvlJc w:val="left"/>
      <w:pPr>
        <w:tabs>
          <w:tab w:val="num" w:pos="3714"/>
        </w:tabs>
        <w:ind w:left="3714"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6023"/>
    <w:pPr>
      <w:widowControl w:val="false"/>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it-IT" w:eastAsia="it-IT" w:bidi="it-IT"/>
    </w:rPr>
  </w:style>
  <w:style w:type="paragraph" w:styleId="Heading1">
    <w:name w:val="heading 1"/>
    <w:basedOn w:val="Normal"/>
    <w:uiPriority w:val="9"/>
    <w:qFormat/>
    <w:rsid w:val="00e56023"/>
    <w:pPr>
      <w:spacing w:before="2" w:after="0"/>
      <w:ind w:hanging="392" w:left="4504" w:right="156"/>
      <w:jc w:val="center"/>
      <w:outlineLvl w:val="0"/>
    </w:pPr>
    <w:rPr>
      <w:b/>
      <w:bCs/>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e67dd6"/>
    <w:rPr>
      <w:rFonts w:ascii="Calibri" w:hAnsi="Calibri" w:eastAsia="Calibri" w:cs="Calibri"/>
      <w:lang w:val="it-IT" w:eastAsia="it-IT" w:bidi="it-IT"/>
    </w:rPr>
  </w:style>
  <w:style w:type="character" w:styleId="PidipaginaCarattere" w:customStyle="1">
    <w:name w:val="Piè di pagina Carattere"/>
    <w:basedOn w:val="DefaultParagraphFont"/>
    <w:uiPriority w:val="99"/>
    <w:qFormat/>
    <w:rsid w:val="00e67dd6"/>
    <w:rPr>
      <w:rFonts w:ascii="Calibri" w:hAnsi="Calibri" w:eastAsia="Calibri" w:cs="Calibri"/>
      <w:lang w:val="it-IT" w:eastAsia="it-IT" w:bidi="it-IT"/>
    </w:rPr>
  </w:style>
  <w:style w:type="character" w:styleId="Hyperlink">
    <w:name w:val="Hyperlink"/>
    <w:basedOn w:val="DefaultParagraphFont"/>
    <w:uiPriority w:val="99"/>
    <w:unhideWhenUsed/>
    <w:rsid w:val="004557e6"/>
    <w:rPr>
      <w:color w:themeColor="hyperlink" w:val="0000FF"/>
      <w:u w:val="single"/>
    </w:rPr>
  </w:style>
  <w:style w:type="character" w:styleId="Menzionenonrisolta1" w:customStyle="1">
    <w:name w:val="Menzione non risolta1"/>
    <w:basedOn w:val="DefaultParagraphFont"/>
    <w:uiPriority w:val="99"/>
    <w:semiHidden/>
    <w:unhideWhenUsed/>
    <w:qFormat/>
    <w:rsid w:val="004557e6"/>
    <w:rPr>
      <w:color w:val="605E5C"/>
      <w:shd w:fill="E1DFDD" w:val="clear"/>
    </w:rPr>
  </w:style>
  <w:style w:type="character" w:styleId="FollowedHyperlink">
    <w:name w:val="FollowedHyperlink"/>
    <w:basedOn w:val="DefaultParagraphFont"/>
    <w:uiPriority w:val="99"/>
    <w:semiHidden/>
    <w:unhideWhenUsed/>
    <w:rsid w:val="008c2fcb"/>
    <w:rPr>
      <w:color w:themeColor="followedHyperlink" w:val="800080"/>
      <w:u w:val="single"/>
    </w:rPr>
  </w:style>
  <w:style w:type="character" w:styleId="Emphasis">
    <w:name w:val="Emphasis"/>
    <w:basedOn w:val="DefaultParagraphFont"/>
    <w:uiPriority w:val="20"/>
    <w:qFormat/>
    <w:rsid w:val="002c03be"/>
    <w:rPr>
      <w:i/>
      <w:iCs/>
    </w:rPr>
  </w:style>
  <w:style w:type="character" w:styleId="apple-converted-space" w:customStyle="1">
    <w:name w:val="apple-converted-space"/>
    <w:basedOn w:val="DefaultParagraphFont"/>
    <w:qFormat/>
    <w:rsid w:val="002c03be"/>
    <w:rPr/>
  </w:style>
  <w:style w:type="character" w:styleId="Strong">
    <w:name w:val="Strong"/>
    <w:basedOn w:val="DefaultParagraphFont"/>
    <w:uiPriority w:val="22"/>
    <w:qFormat/>
    <w:rsid w:val="002c03be"/>
    <w:rPr>
      <w:b/>
      <w:bCs/>
    </w:rPr>
  </w:style>
  <w:style w:type="character" w:styleId="PlaceholderText">
    <w:name w:val="Placeholder Text"/>
    <w:basedOn w:val="DefaultParagraphFont"/>
    <w:uiPriority w:val="99"/>
    <w:semiHidden/>
    <w:qFormat/>
    <w:rsid w:val="008e0e7a"/>
    <w:rPr>
      <w:color w:val="808080"/>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rsid w:val="00e56023"/>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rsid w:val="00e56023"/>
    <w:pPr/>
    <w:rPr/>
  </w:style>
  <w:style w:type="paragraph" w:styleId="TableParagraph" w:customStyle="1">
    <w:name w:val="Table Paragraph"/>
    <w:basedOn w:val="Normal"/>
    <w:uiPriority w:val="1"/>
    <w:qFormat/>
    <w:rsid w:val="00e56023"/>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e67dd6"/>
    <w:pPr>
      <w:tabs>
        <w:tab w:val="clear" w:pos="720"/>
        <w:tab w:val="center" w:pos="4819" w:leader="none"/>
        <w:tab w:val="right" w:pos="9638" w:leader="none"/>
      </w:tabs>
    </w:pPr>
    <w:rPr/>
  </w:style>
  <w:style w:type="paragraph" w:styleId="Footer">
    <w:name w:val="footer"/>
    <w:basedOn w:val="Normal"/>
    <w:link w:val="PidipaginaCarattere"/>
    <w:uiPriority w:val="99"/>
    <w:unhideWhenUsed/>
    <w:rsid w:val="00e67dd6"/>
    <w:pPr>
      <w:tabs>
        <w:tab w:val="clear" w:pos="720"/>
        <w:tab w:val="center" w:pos="4819" w:leader="none"/>
        <w:tab w:val="right" w:pos="9638" w:leader="none"/>
      </w:tabs>
    </w:pPr>
    <w:rPr/>
  </w:style>
  <w:style w:type="paragraph" w:styleId="NormalWeb">
    <w:name w:val="Normal (Web)"/>
    <w:basedOn w:val="Normal"/>
    <w:uiPriority w:val="99"/>
    <w:unhideWhenUsed/>
    <w:qFormat/>
    <w:rsid w:val="00f22a8e"/>
    <w:pPr>
      <w:widowControl/>
      <w:spacing w:beforeAutospacing="1" w:afterAutospacing="1"/>
    </w:pPr>
    <w:rPr>
      <w:rFonts w:ascii="Times New Roman" w:hAnsi="Times New Roman" w:eastAsia="Times New Roman" w:cs="Times New Roman"/>
      <w:sz w:val="24"/>
      <w:szCs w:val="24"/>
      <w:lang w:bidi="ar-SA"/>
    </w:rPr>
  </w:style>
  <w:style w:type="paragraph" w:styleId="normal1">
    <w:name w:val="normal1"/>
    <w:qFormat/>
    <w:pPr>
      <w:widowControl/>
      <w:suppressAutoHyphens w:val="true"/>
      <w:overflowPunct w:val="false"/>
      <w:bidi w:val="0"/>
      <w:spacing w:before="0" w:after="0"/>
      <w:jc w:val="left"/>
    </w:pPr>
    <w:rPr>
      <w:rFonts w:ascii="Liberation Serif" w:hAnsi="Liberation Serif" w:eastAsia="Liberation Serif" w:cs="Liberation Serif"/>
      <w:color w:val="auto"/>
      <w:kern w:val="0"/>
      <w:sz w:val="24"/>
      <w:szCs w:val="24"/>
      <w:lang w:val="it-IT" w:eastAsia="zh-CN" w:bidi="hi-IN"/>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56023"/>
    <w:tblPr>
      <w:tblCellMar>
        <w:top w:w="0" w:type="dxa"/>
        <w:left w:w="0" w:type="dxa"/>
        <w:bottom w:w="0" w:type="dxa"/>
        <w:right w:w="0" w:type="dxa"/>
      </w:tblCellMar>
    </w:tblPr>
  </w:style>
  <w:style w:type="table" w:styleId="Grigliatabella">
    <w:name w:val="Table Grid"/>
    <w:basedOn w:val="Tabellanormale"/>
    <w:uiPriority w:val="39"/>
    <w:rsid w:val="00e726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uiPriority w:val="39"/>
    <w:rsid w:val="004679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taliadomani.gov.it/content/dam/sogei-ng/documenti/PNRR%20Aggiornato.pdf" TargetMode="External"/><Relationship Id="rId3" Type="http://schemas.openxmlformats.org/officeDocument/2006/relationships/hyperlink" Target="https://www.miur.gov.it/documents/20182/6735034/linee+guida+orientamento-signed.pdf/d02014c6-4b76-7a11-9dbf-1dc9b495de38?version=1.0&amp;t=1672213371208" TargetMode="External"/><Relationship Id="rId4" Type="http://schemas.openxmlformats.org/officeDocument/2006/relationships/hyperlink" Target="https://www.miur.gov.it/documents/20182/6735034/m_pi.AOOGABMI.Registro+Decreti(R).0000328.22-12-2022.pdf/d634198a-8dfa-9117-9dac-282e7baff036?version=1.0&amp;t=1672213318764" TargetMode="External"/><Relationship Id="rId5" Type="http://schemas.openxmlformats.org/officeDocument/2006/relationships/hyperlink" Target="https://eur-lex.europa.eu/legal-content/IT/TXT/PDF/?uri=CELEX:32009H0708(01)" TargetMode="External"/><Relationship Id="rId6" Type="http://schemas.openxmlformats.org/officeDocument/2006/relationships/hyperlink" Target="https://eurlex.europa.eu/LexUriServ/LexUriServ.do?uri=OJ:C:2009:155:0011:0018:IT:PDF" TargetMode="External"/><Relationship Id="rId7" Type="http://schemas.openxmlformats.org/officeDocument/2006/relationships/hyperlink" Target="https://eur-lex.europa.eu/LexUriServ/LexUriServ.do?uri=OJ:C:2012:398:0001:0005:IT:PDF" TargetMode="External"/><Relationship Id="rId8" Type="http://schemas.openxmlformats.org/officeDocument/2006/relationships/hyperlink" Target="https://eur-lex.europa.eu/legal-content/IT/TXT/PDF/?uri=CELEX%3A32017H0615(01)&amp;from=FR" TargetMode="External"/><Relationship Id="rId9" Type="http://schemas.openxmlformats.org/officeDocument/2006/relationships/hyperlink" Target="https://eur-lex.europa.eu/legal-content/IT/TXT/PDF/?uri=CELEX:32018D0646&amp;from=EN" TargetMode="External"/><Relationship Id="rId10" Type="http://schemas.openxmlformats.org/officeDocument/2006/relationships/hyperlink" Target="https://eur-lex.europa.eu/legal-content/IT/TXT/PDF/?uri=CELEX:32018H0604(01)" TargetMode="External"/><Relationship Id="rId11" Type="http://schemas.openxmlformats.org/officeDocument/2006/relationships/hyperlink" Target="https://eur-lex.europa.eu/legal-content/IT/TXT/PDF/?uri=CELEX:32022H1209(01)&amp;from=EN" TargetMode="External"/><Relationship Id="rId12" Type="http://schemas.openxmlformats.org/officeDocument/2006/relationships/hyperlink" Target="https://www.edscuola.it/archivio/norme/direttive/dir487_97.html" TargetMode="External"/><Relationship Id="rId13" Type="http://schemas.openxmlformats.org/officeDocument/2006/relationships/hyperlink" Target="https://www.normattiva.it/atto/caricaDettaglioAtto?atto.dataPubblicazioneGazzetta=2008-02-07&amp;atto.codiceRedazionale=008G0030&amp;atto.articolo.numero=0&amp;atto.articolo.sottoArticolo=1&amp;atto.articolo.sottoArticolo1=0&amp;qId=&amp;tabID=0.623255647903851&amp;title=lbl.dettaglioAtto" TargetMode="External"/><Relationship Id="rId14" Type="http://schemas.openxmlformats.org/officeDocument/2006/relationships/hyperlink" Target="https://archivio.pubblica.istruzione.it/normativa/2008/allegati/dlgs22_08.pdf" TargetMode="External"/><Relationship Id="rId15" Type="http://schemas.openxmlformats.org/officeDocument/2006/relationships/hyperlink" Target="https://www.istruzione.it/archivio/web/istruzione/cm43_09.html" TargetMode="External"/><Relationship Id="rId16" Type="http://schemas.openxmlformats.org/officeDocument/2006/relationships/hyperlink" Target="http://archivio.statoregioni.it/Documenti/DOC_042334_136%20cu%20(P.%201%20ODG).pdf" TargetMode="External"/><Relationship Id="rId17" Type="http://schemas.openxmlformats.org/officeDocument/2006/relationships/hyperlink" Target="https://www.istruzione.it/allegati/2014/prot4232_14.pdf" TargetMode="External"/><Relationship Id="rId18" Type="http://schemas.openxmlformats.org/officeDocument/2006/relationships/hyperlink" Target="https://www.orientamentoirreer.it/sites/default/files/norme/2014%2011%2013%20accodo%20standard%20ok.pdf" TargetMode="External"/><Relationship Id="rId19" Type="http://schemas.openxmlformats.org/officeDocument/2006/relationships/hyperlink" Target="https://www.orientamentoirreer.it/sites/default/files/norme/parere-cspi-su-orientamento-scolastico-del-18-gennaio-2018.pdf" TargetMode="External"/><Relationship Id="rId20" Type="http://schemas.openxmlformats.org/officeDocument/2006/relationships/hyperlink" Target="https://www.orientamentoirreer.it/sites/default/files/norme/parere-cspi-su-orientamento-scolastico-del-18-gennaio-2018.pdf" TargetMode="External"/><Relationship Id="rId21" Type="http://schemas.openxmlformats.org/officeDocument/2006/relationships/hyperlink" Target="https://www.miur.gov.it/documents/20182/0/Linee+guida+per+l&apos;orientamento+reso+il+20+dicembre+2022.zip/0e8665b7-63d4-5856-acd7-a9e1d1672665?t=1671638505801" TargetMode="External"/><Relationship Id="rId22" Type="http://schemas.openxmlformats.org/officeDocument/2006/relationships/hyperlink" Target="https://www.miur.gov.it/documents/20182/6735034/linee+guida+orientamento-signed.pdf/d02014c6-4b76-7a11-9dbf-1dc9b495de38?version=1.0&amp;t=1672213371208" TargetMode="External"/><Relationship Id="rId23" Type="http://schemas.openxmlformats.org/officeDocument/2006/relationships/hyperlink" Target="https://www.mim.gov.it/-/decreto-ministeriale-n-231-del-15-novembre-2024" TargetMode="External"/><Relationship Id="rId24" Type="http://schemas.openxmlformats.org/officeDocument/2006/relationships/hyperlink" Target="https://istruzioneveneto.gov.it/20241120_33040/" TargetMode="External"/><Relationship Id="rId25" Type="http://schemas.openxmlformats.org/officeDocument/2006/relationships/hyperlink" Target="https://pnrrorienta.unipd.it/" TargetMode="External"/><Relationship Id="rId26" Type="http://schemas.openxmlformats.org/officeDocument/2006/relationships/hyperlink" Target="https://unive.it/pag/47737/" TargetMode="External"/><Relationship Id="rId27" Type="http://schemas.openxmlformats.org/officeDocument/2006/relationships/hyperlink" Target="https://pnrrorienta.unipd.it/" TargetMode="External"/><Relationship Id="rId28" Type="http://schemas.openxmlformats.org/officeDocument/2006/relationships/hyperlink" Target="https://unive.it/pag/47737/" TargetMode="External"/><Relationship Id="rId29" Type="http://schemas.openxmlformats.org/officeDocument/2006/relationships/hyperlink" Target="https://pnrrorienta.unipd.it/" TargetMode="External"/><Relationship Id="rId30" Type="http://schemas.openxmlformats.org/officeDocument/2006/relationships/hyperlink" Target="https://unive.it/pag/47737/" TargetMode="External"/><Relationship Id="rId31" Type="http://schemas.openxmlformats.org/officeDocument/2006/relationships/header" Target="header1.xml"/><Relationship Id="rId32" Type="http://schemas.openxmlformats.org/officeDocument/2006/relationships/header" Target="header2.xml"/><Relationship Id="rId33" Type="http://schemas.openxmlformats.org/officeDocument/2006/relationships/header" Target="header3.xml"/><Relationship Id="rId34" Type="http://schemas.openxmlformats.org/officeDocument/2006/relationships/footer" Target="footer1.xml"/><Relationship Id="rId35" Type="http://schemas.openxmlformats.org/officeDocument/2006/relationships/footer" Target="footer2.xml"/><Relationship Id="rId36" Type="http://schemas.openxmlformats.org/officeDocument/2006/relationships/footer" Target="footer3.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Relationship Id="rId41" Type="http://schemas.openxmlformats.org/officeDocument/2006/relationships/glossaryDocument" Target="glossary/document.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03EAF9613E406FBE71748D7D5887D3"/>
        <w:category>
          <w:name w:val="Generale"/>
          <w:gallery w:val="placeholder"/>
        </w:category>
        <w:types>
          <w:type w:val="bbPlcHdr"/>
        </w:types>
        <w:behaviors>
          <w:behavior w:val="content"/>
        </w:behaviors>
        <w:guid w:val="{23BC42BD-9B38-470A-B9DE-BF8F1794929A}"/>
      </w:docPartPr>
      <w:docPartBody>
        <w:p w:rsidR="005A4A5D" w:rsidRDefault="004F27B5" w:rsidP="004F27B5">
          <w:pPr>
            <w:pStyle w:val="A303EAF9613E406FBE71748D7D5887D3"/>
          </w:pPr>
          <w:r>
            <w:rPr>
              <w:rStyle w:val="Testosegnaposto"/>
            </w:rPr>
            <w:t>[Autore]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B5"/>
    <w:rsid w:val="000A0993"/>
    <w:rsid w:val="002A0604"/>
    <w:rsid w:val="003C7129"/>
    <w:rsid w:val="004F27B5"/>
    <w:rsid w:val="005A4A5D"/>
    <w:rsid w:val="005B6C49"/>
    <w:rsid w:val="006020CC"/>
    <w:rsid w:val="00603D60"/>
    <w:rsid w:val="006077C4"/>
    <w:rsid w:val="00626A54"/>
    <w:rsid w:val="00803678"/>
    <w:rsid w:val="00821B4A"/>
    <w:rsid w:val="00827FAF"/>
    <w:rsid w:val="00850330"/>
    <w:rsid w:val="009051A5"/>
    <w:rsid w:val="00932880"/>
    <w:rsid w:val="00995E68"/>
    <w:rsid w:val="009F195D"/>
    <w:rsid w:val="00A017E5"/>
    <w:rsid w:val="00A748C6"/>
    <w:rsid w:val="00AB7FDA"/>
    <w:rsid w:val="00D7262D"/>
    <w:rsid w:val="00DB62FE"/>
    <w:rsid w:val="00DF4315"/>
    <w:rsid w:val="00E14E68"/>
    <w:rsid w:val="00FF1F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F27B5"/>
    <w:rPr>
      <w:color w:val="808080"/>
    </w:rPr>
  </w:style>
  <w:style w:type="paragraph" w:customStyle="1" w:styleId="A303EAF9613E406FBE71748D7D5887D3">
    <w:name w:val="A303EAF9613E406FBE71748D7D5887D3"/>
    <w:rsid w:val="004F2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418</TotalTime>
  <Application>LibreOffice/24.8.3.2$Windows_X86_64 LibreOffice_project/48a6bac9e7e268aeb4c3483fcf825c94556d9f92</Application>
  <AppVersion>15.0000</AppVersion>
  <Pages>80</Pages>
  <Words>13561</Words>
  <Characters>85098</Characters>
  <CharactersWithSpaces>98038</CharactersWithSpaces>
  <Paragraphs>654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2024-12-03T15:14:00Z</dcterms:created>
  <dc:creator>IIS EUGANEO - ESTE (PD) – PTOF</dc:creator>
  <dc:description/>
  <dc:language>it-IT</dc:language>
  <cp:lastModifiedBy/>
  <dcterms:modified xsi:type="dcterms:W3CDTF">2024-12-11T21:45:59Z</dcterms:modified>
  <cp:revision>70</cp:revision>
  <dc:subject/>
  <dc:title>Microsoft Word - CD 476 Covid-19-Richiesta-Sorveglianza-Sanitaria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PScript5.dll Version 5.2.2</vt:lpwstr>
  </property>
  <property fmtid="{D5CDD505-2E9C-101B-9397-08002B2CF9AE}" pid="4" name="LastSaved">
    <vt:filetime>2020-09-03T00:00:00Z</vt:filetime>
  </property>
</Properties>
</file>